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ind w:left="0" w:right="0"/>
        <w:jc w:val="center"/>
        <w:rPr>
          <w:rFonts w:hint="eastAsia" w:ascii="黑体" w:hAnsi="黑体" w:eastAsia="黑体" w:cs="黑体"/>
          <w:b/>
          <w:sz w:val="36"/>
          <w:szCs w:val="36"/>
        </w:rPr>
      </w:pPr>
      <w:r>
        <w:rPr>
          <w:rFonts w:hint="eastAsia" w:ascii="黑体" w:hAnsi="黑体" w:eastAsia="黑体" w:cs="黑体"/>
          <w:b/>
          <w:i w:val="0"/>
          <w:caps w:val="0"/>
          <w:spacing w:val="0"/>
          <w:sz w:val="36"/>
          <w:szCs w:val="36"/>
        </w:rPr>
        <w:t>泰安银行202</w:t>
      </w:r>
      <w:r>
        <w:rPr>
          <w:rFonts w:hint="eastAsia" w:ascii="黑体" w:hAnsi="黑体" w:eastAsia="黑体" w:cs="黑体"/>
          <w:b/>
          <w:i w:val="0"/>
          <w:caps w:val="0"/>
          <w:spacing w:val="0"/>
          <w:sz w:val="36"/>
          <w:szCs w:val="36"/>
          <w:lang w:val="en-US" w:eastAsia="zh-CN"/>
        </w:rPr>
        <w:t>6</w:t>
      </w:r>
      <w:r>
        <w:rPr>
          <w:rFonts w:hint="eastAsia" w:ascii="黑体" w:hAnsi="黑体" w:eastAsia="黑体" w:cs="黑体"/>
          <w:b/>
          <w:i w:val="0"/>
          <w:caps w:val="0"/>
          <w:spacing w:val="0"/>
          <w:sz w:val="36"/>
          <w:szCs w:val="36"/>
        </w:rPr>
        <w:t>年第</w:t>
      </w:r>
      <w:r>
        <w:rPr>
          <w:rFonts w:hint="eastAsia" w:ascii="黑体" w:hAnsi="黑体" w:eastAsia="黑体" w:cs="黑体"/>
          <w:b/>
          <w:i w:val="0"/>
          <w:caps w:val="0"/>
          <w:spacing w:val="0"/>
          <w:sz w:val="36"/>
          <w:szCs w:val="36"/>
          <w:lang w:val="en-US" w:eastAsia="zh-CN"/>
        </w:rPr>
        <w:t>六</w:t>
      </w:r>
      <w:r>
        <w:rPr>
          <w:rFonts w:hint="eastAsia" w:ascii="黑体" w:hAnsi="黑体" w:eastAsia="黑体" w:cs="黑体"/>
          <w:b/>
          <w:i w:val="0"/>
          <w:caps w:val="0"/>
          <w:spacing w:val="0"/>
          <w:sz w:val="36"/>
          <w:szCs w:val="36"/>
        </w:rPr>
        <w:t>期个人大额存单发行公告</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rPr>
          <w:rFonts w:hint="eastAsia" w:ascii="仿宋_GB2312" w:hAnsi="仿宋_GB2312" w:eastAsia="仿宋_GB2312" w:cs="仿宋_GB2312"/>
          <w:sz w:val="30"/>
          <w:szCs w:val="30"/>
        </w:rPr>
      </w:pPr>
      <w:r>
        <w:rPr>
          <w:rFonts w:hint="eastAsia" w:ascii="仿宋_GB2312" w:hAnsi="仿宋_GB2312" w:eastAsia="仿宋_GB2312" w:cs="仿宋_GB2312"/>
          <w:i w:val="0"/>
          <w:caps w:val="0"/>
          <w:spacing w:val="0"/>
          <w:sz w:val="30"/>
          <w:szCs w:val="30"/>
        </w:rPr>
        <w:t>尊敬的客户：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rPr>
          <w:rFonts w:hint="eastAsia" w:ascii="仿宋_GB2312" w:hAnsi="仿宋_GB2312" w:eastAsia="仿宋_GB2312" w:cs="仿宋_GB2312"/>
          <w:sz w:val="30"/>
          <w:szCs w:val="30"/>
        </w:rPr>
      </w:pPr>
      <w:r>
        <w:rPr>
          <w:rFonts w:hint="eastAsia" w:ascii="仿宋_GB2312" w:hAnsi="仿宋_GB2312" w:eastAsia="仿宋_GB2312" w:cs="仿宋_GB2312"/>
          <w:i w:val="0"/>
          <w:caps w:val="0"/>
          <w:spacing w:val="0"/>
          <w:sz w:val="30"/>
          <w:szCs w:val="30"/>
        </w:rPr>
        <w:t>　　为满足广大客户需求，我行于202</w:t>
      </w:r>
      <w:r>
        <w:rPr>
          <w:rFonts w:hint="eastAsia" w:ascii="仿宋_GB2312" w:hAnsi="仿宋_GB2312" w:eastAsia="仿宋_GB2312" w:cs="仿宋_GB2312"/>
          <w:i w:val="0"/>
          <w:caps w:val="0"/>
          <w:spacing w:val="0"/>
          <w:sz w:val="30"/>
          <w:szCs w:val="30"/>
          <w:lang w:val="en-US" w:eastAsia="zh-CN"/>
        </w:rPr>
        <w:t>6</w:t>
      </w:r>
      <w:r>
        <w:rPr>
          <w:rFonts w:hint="eastAsia" w:ascii="仿宋_GB2312" w:hAnsi="仿宋_GB2312" w:eastAsia="仿宋_GB2312" w:cs="仿宋_GB2312"/>
          <w:i w:val="0"/>
          <w:caps w:val="0"/>
          <w:spacing w:val="0"/>
          <w:sz w:val="30"/>
          <w:szCs w:val="30"/>
        </w:rPr>
        <w:t>年</w:t>
      </w:r>
      <w:r>
        <w:rPr>
          <w:rFonts w:hint="eastAsia" w:ascii="仿宋_GB2312" w:hAnsi="仿宋_GB2312" w:eastAsia="仿宋_GB2312" w:cs="仿宋_GB2312"/>
          <w:i w:val="0"/>
          <w:caps w:val="0"/>
          <w:spacing w:val="0"/>
          <w:sz w:val="30"/>
          <w:szCs w:val="30"/>
          <w:lang w:val="en-US" w:eastAsia="zh-CN"/>
        </w:rPr>
        <w:t>7</w:t>
      </w:r>
      <w:r>
        <w:rPr>
          <w:rFonts w:hint="eastAsia" w:ascii="仿宋_GB2312" w:hAnsi="仿宋_GB2312" w:eastAsia="仿宋_GB2312" w:cs="仿宋_GB2312"/>
          <w:i w:val="0"/>
          <w:caps w:val="0"/>
          <w:spacing w:val="0"/>
          <w:sz w:val="30"/>
          <w:szCs w:val="30"/>
        </w:rPr>
        <w:t>月</w:t>
      </w:r>
      <w:r>
        <w:rPr>
          <w:rFonts w:hint="eastAsia" w:ascii="仿宋_GB2312" w:hAnsi="仿宋_GB2312" w:eastAsia="仿宋_GB2312" w:cs="仿宋_GB2312"/>
          <w:i w:val="0"/>
          <w:caps w:val="0"/>
          <w:spacing w:val="0"/>
          <w:sz w:val="30"/>
          <w:szCs w:val="30"/>
          <w:lang w:val="en-US" w:eastAsia="zh-CN"/>
        </w:rPr>
        <w:t>15</w:t>
      </w:r>
      <w:r>
        <w:rPr>
          <w:rFonts w:hint="eastAsia" w:ascii="仿宋_GB2312" w:hAnsi="仿宋_GB2312" w:eastAsia="仿宋_GB2312" w:cs="仿宋_GB2312"/>
          <w:i w:val="0"/>
          <w:caps w:val="0"/>
          <w:spacing w:val="0"/>
          <w:sz w:val="30"/>
          <w:szCs w:val="30"/>
        </w:rPr>
        <w:t>日至202</w:t>
      </w:r>
      <w:r>
        <w:rPr>
          <w:rFonts w:hint="eastAsia" w:ascii="仿宋_GB2312" w:hAnsi="仿宋_GB2312" w:eastAsia="仿宋_GB2312" w:cs="仿宋_GB2312"/>
          <w:i w:val="0"/>
          <w:caps w:val="0"/>
          <w:spacing w:val="0"/>
          <w:sz w:val="30"/>
          <w:szCs w:val="30"/>
          <w:lang w:val="en-US" w:eastAsia="zh-CN"/>
        </w:rPr>
        <w:t>6</w:t>
      </w:r>
      <w:r>
        <w:rPr>
          <w:rFonts w:hint="eastAsia" w:ascii="仿宋_GB2312" w:hAnsi="仿宋_GB2312" w:eastAsia="仿宋_GB2312" w:cs="仿宋_GB2312"/>
          <w:i w:val="0"/>
          <w:caps w:val="0"/>
          <w:spacing w:val="0"/>
          <w:sz w:val="30"/>
          <w:szCs w:val="30"/>
        </w:rPr>
        <w:t>年</w:t>
      </w:r>
      <w:r>
        <w:rPr>
          <w:rFonts w:hint="eastAsia" w:ascii="仿宋_GB2312" w:hAnsi="仿宋_GB2312" w:eastAsia="仿宋_GB2312" w:cs="仿宋_GB2312"/>
          <w:i w:val="0"/>
          <w:caps w:val="0"/>
          <w:spacing w:val="0"/>
          <w:sz w:val="30"/>
          <w:szCs w:val="30"/>
          <w:lang w:val="en-US" w:eastAsia="zh-CN"/>
        </w:rPr>
        <w:t>9</w:t>
      </w:r>
      <w:r>
        <w:rPr>
          <w:rFonts w:hint="eastAsia" w:ascii="仿宋_GB2312" w:hAnsi="仿宋_GB2312" w:eastAsia="仿宋_GB2312" w:cs="仿宋_GB2312"/>
          <w:i w:val="0"/>
          <w:caps w:val="0"/>
          <w:spacing w:val="0"/>
          <w:sz w:val="30"/>
          <w:szCs w:val="30"/>
        </w:rPr>
        <w:t>月</w:t>
      </w:r>
      <w:r>
        <w:rPr>
          <w:rFonts w:hint="eastAsia" w:ascii="仿宋_GB2312" w:hAnsi="仿宋_GB2312" w:eastAsia="仿宋_GB2312" w:cs="仿宋_GB2312"/>
          <w:i w:val="0"/>
          <w:caps w:val="0"/>
          <w:spacing w:val="0"/>
          <w:sz w:val="30"/>
          <w:szCs w:val="30"/>
          <w:lang w:val="en-US" w:eastAsia="zh-CN"/>
        </w:rPr>
        <w:t>30</w:t>
      </w:r>
      <w:r>
        <w:rPr>
          <w:rFonts w:hint="eastAsia" w:ascii="仿宋_GB2312" w:hAnsi="仿宋_GB2312" w:eastAsia="仿宋_GB2312" w:cs="仿宋_GB2312"/>
          <w:i w:val="0"/>
          <w:caps w:val="0"/>
          <w:spacing w:val="0"/>
          <w:sz w:val="30"/>
          <w:szCs w:val="30"/>
        </w:rPr>
        <w:t>日发行202</w:t>
      </w:r>
      <w:r>
        <w:rPr>
          <w:rFonts w:hint="eastAsia" w:ascii="仿宋_GB2312" w:hAnsi="仿宋_GB2312" w:eastAsia="仿宋_GB2312" w:cs="仿宋_GB2312"/>
          <w:i w:val="0"/>
          <w:caps w:val="0"/>
          <w:spacing w:val="0"/>
          <w:sz w:val="30"/>
          <w:szCs w:val="30"/>
          <w:lang w:val="en-US" w:eastAsia="zh-CN"/>
        </w:rPr>
        <w:t>6</w:t>
      </w:r>
      <w:r>
        <w:rPr>
          <w:rFonts w:hint="eastAsia" w:ascii="仿宋_GB2312" w:hAnsi="仿宋_GB2312" w:eastAsia="仿宋_GB2312" w:cs="仿宋_GB2312"/>
          <w:i w:val="0"/>
          <w:caps w:val="0"/>
          <w:spacing w:val="0"/>
          <w:sz w:val="30"/>
          <w:szCs w:val="30"/>
        </w:rPr>
        <w:t>年第</w:t>
      </w:r>
      <w:r>
        <w:rPr>
          <w:rFonts w:hint="eastAsia" w:ascii="仿宋_GB2312" w:hAnsi="仿宋_GB2312" w:eastAsia="仿宋_GB2312" w:cs="仿宋_GB2312"/>
          <w:i w:val="0"/>
          <w:caps w:val="0"/>
          <w:spacing w:val="0"/>
          <w:sz w:val="30"/>
          <w:szCs w:val="30"/>
          <w:lang w:val="en-US" w:eastAsia="zh-CN"/>
        </w:rPr>
        <w:t>六</w:t>
      </w:r>
      <w:r>
        <w:rPr>
          <w:rFonts w:hint="eastAsia" w:ascii="仿宋_GB2312" w:hAnsi="仿宋_GB2312" w:eastAsia="仿宋_GB2312" w:cs="仿宋_GB2312"/>
          <w:i w:val="0"/>
          <w:caps w:val="0"/>
          <w:spacing w:val="0"/>
          <w:sz w:val="30"/>
          <w:szCs w:val="30"/>
        </w:rPr>
        <w:t>期个人大额存单，具体内容如下：</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rPr>
          <w:rFonts w:hint="eastAsia" w:ascii="仿宋_GB2312" w:hAnsi="仿宋_GB2312" w:eastAsia="仿宋_GB2312" w:cs="仿宋_GB2312"/>
          <w:sz w:val="30"/>
          <w:szCs w:val="30"/>
        </w:rPr>
      </w:pPr>
      <w:r>
        <w:rPr>
          <w:rFonts w:hint="eastAsia" w:ascii="仿宋_GB2312" w:hAnsi="仿宋_GB2312" w:eastAsia="仿宋_GB2312" w:cs="仿宋_GB2312"/>
          <w:i w:val="0"/>
          <w:caps w:val="0"/>
          <w:spacing w:val="0"/>
          <w:sz w:val="30"/>
          <w:szCs w:val="30"/>
        </w:rPr>
        <w:t>　</w:t>
      </w:r>
      <w:r>
        <w:rPr>
          <w:rFonts w:hint="eastAsia" w:ascii="仿宋_GB2312" w:hAnsi="仿宋_GB2312" w:eastAsia="仿宋_GB2312" w:cs="仿宋_GB2312"/>
          <w:b/>
          <w:bCs/>
          <w:i w:val="0"/>
          <w:caps w:val="0"/>
          <w:spacing w:val="0"/>
          <w:sz w:val="30"/>
          <w:szCs w:val="30"/>
        </w:rPr>
        <w:t>　一、个人大额存单业务简介</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rPr>
          <w:rFonts w:hint="eastAsia" w:ascii="仿宋_GB2312" w:hAnsi="仿宋_GB2312" w:eastAsia="仿宋_GB2312" w:cs="仿宋_GB2312"/>
          <w:sz w:val="30"/>
          <w:szCs w:val="30"/>
        </w:rPr>
      </w:pPr>
      <w:r>
        <w:rPr>
          <w:rFonts w:hint="eastAsia" w:ascii="仿宋_GB2312" w:hAnsi="仿宋_GB2312" w:eastAsia="仿宋_GB2312" w:cs="仿宋_GB2312"/>
          <w:i w:val="0"/>
          <w:caps w:val="0"/>
          <w:spacing w:val="0"/>
          <w:sz w:val="30"/>
          <w:szCs w:val="30"/>
        </w:rPr>
        <w:t>　　个人大额存单是我行面向个人客户发行的以人民币计价的记账式大额存款凭证，是具有标准化期限、最低投资金额要求的存款产品，属一般性存款。按照人民银行相关规定，大额存单纳入存款保险范围。</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rPr>
          <w:rFonts w:hint="eastAsia" w:ascii="仿宋_GB2312" w:hAnsi="仿宋_GB2312" w:eastAsia="仿宋_GB2312" w:cs="仿宋_GB2312"/>
          <w:b/>
          <w:bCs/>
          <w:sz w:val="30"/>
          <w:szCs w:val="30"/>
        </w:rPr>
      </w:pPr>
      <w:r>
        <w:rPr>
          <w:rFonts w:hint="eastAsia" w:ascii="仿宋_GB2312" w:hAnsi="仿宋_GB2312" w:eastAsia="仿宋_GB2312" w:cs="仿宋_GB2312"/>
          <w:b/>
          <w:bCs/>
          <w:i w:val="0"/>
          <w:caps w:val="0"/>
          <w:spacing w:val="0"/>
          <w:sz w:val="30"/>
          <w:szCs w:val="30"/>
        </w:rPr>
        <w:t>　　二、发行信息</w:t>
      </w:r>
    </w:p>
    <w:tbl>
      <w:tblPr>
        <w:tblStyle w:val="4"/>
        <w:tblW w:w="959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43"/>
        <w:gridCol w:w="1080"/>
        <w:gridCol w:w="987"/>
        <w:gridCol w:w="888"/>
        <w:gridCol w:w="1455"/>
        <w:gridCol w:w="2625"/>
        <w:gridCol w:w="161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943" w:type="dxa"/>
            <w:tcBorders>
              <w:top w:val="single" w:color="auto" w:sz="8" w:space="0"/>
              <w:left w:val="single" w:color="auto" w:sz="8" w:space="0"/>
              <w:bottom w:val="single" w:color="auto" w:sz="4" w:space="0"/>
              <w:right w:val="single" w:color="auto" w:sz="8" w:space="0"/>
            </w:tcBorders>
            <w:vAlign w:val="center"/>
          </w:tcPr>
          <w:p>
            <w:pPr>
              <w:widowControl/>
              <w:jc w:val="center"/>
              <w:rPr>
                <w:rFonts w:hint="eastAsia" w:ascii="仿宋_GB2312" w:hAnsi="仿宋_GB2312" w:eastAsia="仿宋_GB2312" w:cs="仿宋_GB2312"/>
                <w:i w:val="0"/>
                <w:caps w:val="0"/>
                <w:spacing w:val="0"/>
                <w:kern w:val="0"/>
                <w:sz w:val="24"/>
                <w:szCs w:val="24"/>
                <w:lang w:val="en-US" w:eastAsia="zh-CN" w:bidi="ar"/>
              </w:rPr>
            </w:pPr>
            <w:r>
              <w:rPr>
                <w:rFonts w:hint="eastAsia" w:ascii="仿宋_GB2312" w:hAnsi="仿宋_GB2312" w:eastAsia="仿宋_GB2312" w:cs="仿宋_GB2312"/>
                <w:i w:val="0"/>
                <w:caps w:val="0"/>
                <w:spacing w:val="0"/>
                <w:kern w:val="0"/>
                <w:sz w:val="24"/>
                <w:szCs w:val="24"/>
                <w:lang w:val="en-US" w:eastAsia="zh-CN" w:bidi="ar"/>
              </w:rPr>
              <w:t>期限</w:t>
            </w:r>
          </w:p>
        </w:tc>
        <w:tc>
          <w:tcPr>
            <w:tcW w:w="1080" w:type="dxa"/>
            <w:tcBorders>
              <w:top w:val="single" w:color="auto" w:sz="8" w:space="0"/>
              <w:left w:val="nil"/>
              <w:bottom w:val="single" w:color="auto" w:sz="4" w:space="0"/>
              <w:right w:val="single" w:color="auto" w:sz="8" w:space="0"/>
            </w:tcBorders>
            <w:vAlign w:val="center"/>
          </w:tcPr>
          <w:p>
            <w:pPr>
              <w:widowControl/>
              <w:jc w:val="center"/>
              <w:rPr>
                <w:rFonts w:hint="eastAsia" w:ascii="仿宋_GB2312" w:hAnsi="仿宋_GB2312" w:eastAsia="仿宋_GB2312" w:cs="仿宋_GB2312"/>
                <w:i w:val="0"/>
                <w:caps w:val="0"/>
                <w:spacing w:val="0"/>
                <w:kern w:val="0"/>
                <w:sz w:val="24"/>
                <w:szCs w:val="24"/>
                <w:lang w:val="en-US" w:eastAsia="zh-CN" w:bidi="ar"/>
              </w:rPr>
            </w:pPr>
            <w:r>
              <w:rPr>
                <w:rFonts w:hint="eastAsia" w:ascii="仿宋_GB2312" w:hAnsi="仿宋_GB2312" w:eastAsia="仿宋_GB2312" w:cs="仿宋_GB2312"/>
                <w:i w:val="0"/>
                <w:caps w:val="0"/>
                <w:spacing w:val="0"/>
                <w:kern w:val="0"/>
                <w:sz w:val="24"/>
                <w:szCs w:val="24"/>
                <w:lang w:val="en-US" w:eastAsia="zh-CN" w:bidi="ar"/>
              </w:rPr>
              <w:t>发售额度</w:t>
            </w:r>
          </w:p>
        </w:tc>
        <w:tc>
          <w:tcPr>
            <w:tcW w:w="987" w:type="dxa"/>
            <w:tcBorders>
              <w:top w:val="single" w:color="auto" w:sz="8" w:space="0"/>
              <w:left w:val="nil"/>
              <w:bottom w:val="single" w:color="auto" w:sz="4" w:space="0"/>
              <w:right w:val="single" w:color="auto" w:sz="8" w:space="0"/>
            </w:tcBorders>
            <w:vAlign w:val="center"/>
          </w:tcPr>
          <w:p>
            <w:pPr>
              <w:widowControl/>
              <w:jc w:val="center"/>
              <w:rPr>
                <w:rFonts w:hint="eastAsia" w:ascii="仿宋_GB2312" w:hAnsi="仿宋_GB2312" w:eastAsia="仿宋_GB2312" w:cs="仿宋_GB2312"/>
                <w:i w:val="0"/>
                <w:caps w:val="0"/>
                <w:spacing w:val="0"/>
                <w:kern w:val="0"/>
                <w:sz w:val="24"/>
                <w:szCs w:val="24"/>
                <w:lang w:val="en-US" w:eastAsia="zh-CN" w:bidi="ar"/>
              </w:rPr>
            </w:pPr>
            <w:r>
              <w:rPr>
                <w:rFonts w:hint="eastAsia" w:ascii="仿宋_GB2312" w:hAnsi="仿宋_GB2312" w:eastAsia="仿宋_GB2312" w:cs="仿宋_GB2312"/>
                <w:i w:val="0"/>
                <w:caps w:val="0"/>
                <w:spacing w:val="0"/>
                <w:kern w:val="0"/>
                <w:sz w:val="24"/>
                <w:szCs w:val="24"/>
                <w:lang w:val="en-US" w:eastAsia="zh-CN" w:bidi="ar"/>
              </w:rPr>
              <w:t>起存金额</w:t>
            </w:r>
          </w:p>
        </w:tc>
        <w:tc>
          <w:tcPr>
            <w:tcW w:w="888" w:type="dxa"/>
            <w:tcBorders>
              <w:top w:val="single" w:color="auto" w:sz="8" w:space="0"/>
              <w:left w:val="nil"/>
              <w:bottom w:val="single" w:color="auto" w:sz="4" w:space="0"/>
              <w:right w:val="single" w:color="auto" w:sz="8" w:space="0"/>
            </w:tcBorders>
            <w:vAlign w:val="center"/>
          </w:tcPr>
          <w:p>
            <w:pPr>
              <w:widowControl/>
              <w:jc w:val="center"/>
              <w:rPr>
                <w:rFonts w:hint="eastAsia" w:ascii="仿宋_GB2312" w:hAnsi="仿宋_GB2312" w:eastAsia="仿宋_GB2312" w:cs="仿宋_GB2312"/>
                <w:i w:val="0"/>
                <w:caps w:val="0"/>
                <w:spacing w:val="0"/>
                <w:kern w:val="0"/>
                <w:sz w:val="24"/>
                <w:szCs w:val="24"/>
                <w:lang w:val="en-US" w:eastAsia="zh-CN" w:bidi="ar"/>
              </w:rPr>
            </w:pPr>
            <w:r>
              <w:rPr>
                <w:rFonts w:hint="eastAsia" w:ascii="仿宋_GB2312" w:hAnsi="仿宋_GB2312" w:eastAsia="仿宋_GB2312" w:cs="仿宋_GB2312"/>
                <w:i w:val="0"/>
                <w:caps w:val="0"/>
                <w:spacing w:val="0"/>
                <w:kern w:val="0"/>
                <w:sz w:val="24"/>
                <w:szCs w:val="24"/>
                <w:lang w:val="en-US" w:eastAsia="zh-CN" w:bidi="ar"/>
              </w:rPr>
              <w:t>执行利率</w:t>
            </w:r>
          </w:p>
        </w:tc>
        <w:tc>
          <w:tcPr>
            <w:tcW w:w="1455" w:type="dxa"/>
            <w:tcBorders>
              <w:top w:val="single" w:color="auto" w:sz="8" w:space="0"/>
              <w:left w:val="nil"/>
              <w:bottom w:val="single" w:color="auto" w:sz="4" w:space="0"/>
              <w:right w:val="single" w:color="auto" w:sz="8" w:space="0"/>
            </w:tcBorders>
            <w:vAlign w:val="center"/>
          </w:tcPr>
          <w:p>
            <w:pPr>
              <w:widowControl/>
              <w:jc w:val="center"/>
              <w:rPr>
                <w:rFonts w:hint="eastAsia" w:ascii="仿宋_GB2312" w:hAnsi="仿宋_GB2312" w:eastAsia="仿宋_GB2312" w:cs="仿宋_GB2312"/>
                <w:i w:val="0"/>
                <w:caps w:val="0"/>
                <w:spacing w:val="0"/>
                <w:kern w:val="0"/>
                <w:sz w:val="24"/>
                <w:szCs w:val="24"/>
                <w:lang w:val="en-US" w:eastAsia="zh-CN" w:bidi="ar"/>
              </w:rPr>
            </w:pPr>
            <w:r>
              <w:rPr>
                <w:rFonts w:hint="eastAsia" w:ascii="仿宋_GB2312" w:hAnsi="仿宋_GB2312" w:eastAsia="仿宋_GB2312" w:cs="仿宋_GB2312"/>
                <w:i w:val="0"/>
                <w:caps w:val="0"/>
                <w:spacing w:val="0"/>
                <w:kern w:val="0"/>
                <w:sz w:val="24"/>
                <w:szCs w:val="24"/>
                <w:lang w:val="en-US" w:eastAsia="zh-CN" w:bidi="ar"/>
              </w:rPr>
              <w:t>销售渠道</w:t>
            </w:r>
          </w:p>
        </w:tc>
        <w:tc>
          <w:tcPr>
            <w:tcW w:w="2625" w:type="dxa"/>
            <w:tcBorders>
              <w:top w:val="single" w:color="auto" w:sz="8" w:space="0"/>
              <w:left w:val="nil"/>
              <w:bottom w:val="single" w:color="auto" w:sz="4" w:space="0"/>
              <w:right w:val="single" w:color="auto" w:sz="8" w:space="0"/>
            </w:tcBorders>
            <w:vAlign w:val="center"/>
          </w:tcPr>
          <w:p>
            <w:pPr>
              <w:widowControl/>
              <w:jc w:val="center"/>
              <w:rPr>
                <w:rFonts w:hint="eastAsia" w:ascii="仿宋_GB2312" w:hAnsi="仿宋_GB2312" w:eastAsia="仿宋_GB2312" w:cs="仿宋_GB2312"/>
                <w:i w:val="0"/>
                <w:caps w:val="0"/>
                <w:spacing w:val="0"/>
                <w:kern w:val="0"/>
                <w:sz w:val="24"/>
                <w:szCs w:val="24"/>
                <w:lang w:val="en-US" w:eastAsia="zh-CN" w:bidi="ar"/>
              </w:rPr>
            </w:pPr>
            <w:r>
              <w:rPr>
                <w:rFonts w:hint="eastAsia" w:ascii="仿宋_GB2312" w:hAnsi="仿宋_GB2312" w:eastAsia="仿宋_GB2312" w:cs="仿宋_GB2312"/>
                <w:i w:val="0"/>
                <w:caps w:val="0"/>
                <w:spacing w:val="0"/>
                <w:kern w:val="0"/>
                <w:sz w:val="24"/>
                <w:szCs w:val="24"/>
                <w:lang w:val="en-US" w:eastAsia="zh-CN" w:bidi="ar"/>
              </w:rPr>
              <w:t>销售期限</w:t>
            </w:r>
          </w:p>
        </w:tc>
        <w:tc>
          <w:tcPr>
            <w:tcW w:w="1617" w:type="dxa"/>
            <w:tcBorders>
              <w:top w:val="single" w:color="auto" w:sz="8" w:space="0"/>
              <w:left w:val="nil"/>
              <w:bottom w:val="single" w:color="auto" w:sz="4" w:space="0"/>
              <w:right w:val="single" w:color="auto" w:sz="8" w:space="0"/>
            </w:tcBorders>
            <w:vAlign w:val="center"/>
          </w:tcPr>
          <w:p>
            <w:pPr>
              <w:widowControl/>
              <w:jc w:val="center"/>
              <w:rPr>
                <w:rFonts w:hint="eastAsia" w:ascii="仿宋_GB2312" w:hAnsi="仿宋_GB2312" w:eastAsia="仿宋_GB2312" w:cs="仿宋_GB2312"/>
                <w:i w:val="0"/>
                <w:caps w:val="0"/>
                <w:spacing w:val="0"/>
                <w:kern w:val="0"/>
                <w:sz w:val="24"/>
                <w:szCs w:val="24"/>
                <w:lang w:val="en-US" w:eastAsia="zh-CN" w:bidi="ar"/>
              </w:rPr>
            </w:pPr>
            <w:r>
              <w:rPr>
                <w:rFonts w:hint="eastAsia" w:ascii="仿宋_GB2312" w:hAnsi="仿宋_GB2312" w:eastAsia="仿宋_GB2312" w:cs="仿宋_GB2312"/>
                <w:i w:val="0"/>
                <w:caps w:val="0"/>
                <w:spacing w:val="0"/>
                <w:kern w:val="0"/>
                <w:sz w:val="24"/>
                <w:szCs w:val="24"/>
                <w:lang w:val="en-US" w:eastAsia="zh-CN" w:bidi="ar"/>
              </w:rPr>
              <w:t>产品代码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943"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i w:val="0"/>
                <w:caps w:val="0"/>
                <w:spacing w:val="0"/>
                <w:kern w:val="0"/>
                <w:sz w:val="24"/>
                <w:szCs w:val="24"/>
                <w:lang w:val="en-US" w:eastAsia="zh-CN" w:bidi="ar"/>
              </w:rPr>
            </w:pPr>
            <w:r>
              <w:rPr>
                <w:rFonts w:hint="eastAsia" w:ascii="宋体" w:hAnsi="宋体" w:cs="宋体"/>
                <w:color w:val="000000"/>
                <w:kern w:val="0"/>
                <w:sz w:val="20"/>
                <w:highlight w:val="none"/>
                <w:lang w:val="en-US" w:eastAsia="zh-CN"/>
              </w:rPr>
              <w:t>3年</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i w:val="0"/>
                <w:caps w:val="0"/>
                <w:spacing w:val="0"/>
                <w:kern w:val="0"/>
                <w:sz w:val="24"/>
                <w:szCs w:val="24"/>
                <w:lang w:val="en-US" w:eastAsia="zh-CN" w:bidi="ar"/>
              </w:rPr>
            </w:pPr>
            <w:r>
              <w:rPr>
                <w:rFonts w:hint="eastAsia" w:ascii="宋体" w:hAnsi="宋体" w:cs="宋体"/>
                <w:kern w:val="0"/>
                <w:sz w:val="20"/>
                <w:highlight w:val="none"/>
                <w:lang w:val="en-US" w:eastAsia="zh-CN"/>
              </w:rPr>
              <w:t>200000万元</w:t>
            </w:r>
          </w:p>
        </w:tc>
        <w:tc>
          <w:tcPr>
            <w:tcW w:w="987"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i w:val="0"/>
                <w:caps w:val="0"/>
                <w:spacing w:val="0"/>
                <w:kern w:val="0"/>
                <w:sz w:val="24"/>
                <w:szCs w:val="24"/>
                <w:lang w:val="en-US" w:eastAsia="zh-CN" w:bidi="ar"/>
              </w:rPr>
            </w:pPr>
            <w:r>
              <w:rPr>
                <w:rFonts w:hint="eastAsia" w:ascii="宋体" w:hAnsi="宋体" w:cs="宋体"/>
                <w:color w:val="000000"/>
                <w:kern w:val="0"/>
                <w:sz w:val="20"/>
                <w:highlight w:val="none"/>
                <w:lang w:val="en-US" w:eastAsia="zh-CN"/>
              </w:rPr>
              <w:t>20万元</w:t>
            </w:r>
          </w:p>
        </w:tc>
        <w:tc>
          <w:tcPr>
            <w:tcW w:w="888"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i w:val="0"/>
                <w:caps w:val="0"/>
                <w:spacing w:val="0"/>
                <w:kern w:val="0"/>
                <w:sz w:val="24"/>
                <w:szCs w:val="24"/>
                <w:lang w:val="en-US" w:eastAsia="zh-CN" w:bidi="ar"/>
              </w:rPr>
            </w:pPr>
            <w:r>
              <w:rPr>
                <w:rFonts w:hint="eastAsia" w:ascii="宋体" w:hAnsi="宋体" w:cs="宋体"/>
                <w:kern w:val="0"/>
                <w:sz w:val="20"/>
                <w:highlight w:val="none"/>
                <w:lang w:val="en-US" w:eastAsia="zh-CN"/>
              </w:rPr>
              <w:t>1.85%</w:t>
            </w:r>
          </w:p>
        </w:tc>
        <w:tc>
          <w:tcPr>
            <w:tcW w:w="1455"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i w:val="0"/>
                <w:caps w:val="0"/>
                <w:spacing w:val="0"/>
                <w:kern w:val="0"/>
                <w:sz w:val="24"/>
                <w:szCs w:val="24"/>
                <w:lang w:val="en-US" w:eastAsia="zh-CN" w:bidi="ar"/>
              </w:rPr>
            </w:pPr>
            <w:r>
              <w:rPr>
                <w:rFonts w:hint="eastAsia" w:ascii="宋体" w:hAnsi="宋体" w:cs="宋体"/>
                <w:kern w:val="0"/>
                <w:sz w:val="20"/>
                <w:highlight w:val="none"/>
                <w:lang w:eastAsia="zh-CN"/>
              </w:rPr>
              <w:t>柜面、手机银行</w:t>
            </w:r>
          </w:p>
        </w:tc>
        <w:tc>
          <w:tcPr>
            <w:tcW w:w="2625" w:type="dxa"/>
            <w:tcBorders>
              <w:top w:val="single" w:color="auto" w:sz="4" w:space="0"/>
              <w:left w:val="single" w:color="auto" w:sz="4" w:space="0"/>
              <w:bottom w:val="single" w:color="auto" w:sz="4" w:space="0"/>
              <w:right w:val="single" w:color="auto" w:sz="4" w:space="0"/>
            </w:tcBorders>
            <w:vAlign w:val="center"/>
          </w:tcPr>
          <w:p>
            <w:pPr>
              <w:widowControl/>
              <w:jc w:val="center"/>
              <w:rPr>
                <w:rFonts w:hint="default" w:ascii="仿宋_GB2312" w:hAnsi="仿宋_GB2312" w:eastAsia="仿宋_GB2312" w:cs="仿宋_GB2312"/>
                <w:i w:val="0"/>
                <w:caps w:val="0"/>
                <w:spacing w:val="0"/>
                <w:kern w:val="0"/>
                <w:sz w:val="24"/>
                <w:szCs w:val="24"/>
                <w:lang w:val="en-US" w:eastAsia="zh-CN" w:bidi="ar"/>
              </w:rPr>
            </w:pPr>
            <w:r>
              <w:rPr>
                <w:rFonts w:hint="eastAsia" w:ascii="宋体" w:hAnsi="宋体" w:cs="宋体"/>
                <w:kern w:val="0"/>
                <w:sz w:val="20"/>
                <w:highlight w:val="none"/>
                <w:lang w:val="en-US" w:eastAsia="zh-CN"/>
              </w:rPr>
              <w:t>2026.07.15-2026.09.30</w:t>
            </w:r>
          </w:p>
        </w:tc>
        <w:tc>
          <w:tcPr>
            <w:tcW w:w="1617" w:type="dxa"/>
            <w:tcBorders>
              <w:top w:val="single" w:color="auto" w:sz="4" w:space="0"/>
              <w:left w:val="single" w:color="auto" w:sz="4" w:space="0"/>
              <w:bottom w:val="single" w:color="auto" w:sz="4" w:space="0"/>
              <w:right w:val="single" w:color="auto" w:sz="4" w:space="0"/>
            </w:tcBorders>
            <w:vAlign w:val="center"/>
          </w:tcPr>
          <w:p>
            <w:pPr>
              <w:widowControl/>
              <w:jc w:val="center"/>
              <w:rPr>
                <w:rFonts w:hint="default" w:ascii="仿宋_GB2312" w:hAnsi="仿宋_GB2312" w:eastAsia="仿宋_GB2312" w:cs="仿宋_GB2312"/>
                <w:i w:val="0"/>
                <w:caps w:val="0"/>
                <w:spacing w:val="0"/>
                <w:kern w:val="0"/>
                <w:sz w:val="24"/>
                <w:szCs w:val="24"/>
                <w:lang w:val="en-US" w:eastAsia="zh-CN" w:bidi="ar"/>
              </w:rPr>
            </w:pPr>
            <w:r>
              <w:rPr>
                <w:rFonts w:hint="default" w:ascii="宋体" w:hAnsi="宋体" w:cs="宋体"/>
                <w:kern w:val="0"/>
                <w:sz w:val="20"/>
                <w:highlight w:val="none"/>
                <w:lang w:val="en-US" w:eastAsia="zh-CN"/>
              </w:rPr>
              <w:t>811TD2017</w:t>
            </w:r>
            <w:r>
              <w:rPr>
                <w:rFonts w:hint="eastAsia" w:ascii="宋体" w:hAnsi="宋体" w:cs="宋体"/>
                <w:kern w:val="0"/>
                <w:sz w:val="20"/>
                <w:highlight w:val="none"/>
                <w:lang w:val="en-US" w:eastAsia="zh-CN"/>
              </w:rPr>
              <w:t>10</w:t>
            </w:r>
          </w:p>
        </w:tc>
      </w:tr>
    </w:tbl>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rPr>
          <w:rFonts w:hint="eastAsia" w:ascii="仿宋_GB2312" w:hAnsi="仿宋_GB2312" w:eastAsia="仿宋_GB2312" w:cs="仿宋_GB2312"/>
          <w:i w:val="0"/>
          <w:caps w:val="0"/>
          <w:spacing w:val="0"/>
          <w:sz w:val="30"/>
          <w:szCs w:val="30"/>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rPr>
          <w:rFonts w:hint="eastAsia" w:ascii="仿宋_GB2312" w:hAnsi="仿宋_GB2312" w:eastAsia="仿宋_GB2312" w:cs="仿宋_GB2312"/>
          <w:b/>
          <w:bCs/>
          <w:sz w:val="30"/>
          <w:szCs w:val="30"/>
        </w:rPr>
      </w:pPr>
      <w:r>
        <w:rPr>
          <w:rFonts w:hint="eastAsia" w:ascii="仿宋_GB2312" w:hAnsi="仿宋_GB2312" w:eastAsia="仿宋_GB2312" w:cs="仿宋_GB2312"/>
          <w:b/>
          <w:bCs/>
          <w:i w:val="0"/>
          <w:caps w:val="0"/>
          <w:spacing w:val="0"/>
          <w:sz w:val="30"/>
          <w:szCs w:val="30"/>
        </w:rPr>
        <w:t>　　三、计息规则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rPr>
          <w:rFonts w:hint="eastAsia" w:ascii="仿宋_GB2312" w:hAnsi="仿宋_GB2312" w:eastAsia="仿宋_GB2312" w:cs="仿宋_GB2312"/>
          <w:sz w:val="30"/>
          <w:szCs w:val="30"/>
        </w:rPr>
      </w:pPr>
      <w:r>
        <w:rPr>
          <w:rFonts w:hint="eastAsia" w:ascii="仿宋_GB2312" w:hAnsi="仿宋_GB2312" w:eastAsia="仿宋_GB2312" w:cs="仿宋_GB2312"/>
          <w:i w:val="0"/>
          <w:caps w:val="0"/>
          <w:spacing w:val="0"/>
          <w:sz w:val="30"/>
          <w:szCs w:val="30"/>
        </w:rPr>
        <w:t>　　产品均为到期还本付息，提前支取按活期计息。</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rPr>
          <w:rFonts w:hint="eastAsia" w:ascii="仿宋_GB2312" w:hAnsi="仿宋_GB2312" w:eastAsia="仿宋_GB2312" w:cs="仿宋_GB2312"/>
          <w:sz w:val="30"/>
          <w:szCs w:val="30"/>
        </w:rPr>
      </w:pPr>
      <w:r>
        <w:rPr>
          <w:rFonts w:hint="eastAsia" w:ascii="仿宋_GB2312" w:hAnsi="仿宋_GB2312" w:eastAsia="仿宋_GB2312" w:cs="仿宋_GB2312"/>
          <w:i w:val="0"/>
          <w:caps w:val="0"/>
          <w:spacing w:val="0"/>
          <w:sz w:val="30"/>
          <w:szCs w:val="30"/>
        </w:rPr>
        <w:t>　</w:t>
      </w:r>
      <w:r>
        <w:rPr>
          <w:rFonts w:hint="eastAsia" w:ascii="仿宋_GB2312" w:hAnsi="仿宋_GB2312" w:eastAsia="仿宋_GB2312" w:cs="仿宋_GB2312"/>
          <w:b/>
          <w:bCs/>
          <w:i w:val="0"/>
          <w:caps w:val="0"/>
          <w:spacing w:val="0"/>
          <w:sz w:val="30"/>
          <w:szCs w:val="30"/>
        </w:rPr>
        <w:t>　四、购买方式</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600"/>
        <w:rPr>
          <w:rFonts w:hint="eastAsia" w:ascii="仿宋_GB2312" w:hAnsi="仿宋_GB2312" w:eastAsia="仿宋_GB2312" w:cs="仿宋_GB2312"/>
          <w:i w:val="0"/>
          <w:caps w:val="0"/>
          <w:spacing w:val="0"/>
          <w:sz w:val="30"/>
          <w:szCs w:val="30"/>
        </w:rPr>
      </w:pPr>
      <w:r>
        <w:rPr>
          <w:rFonts w:hint="eastAsia" w:ascii="仿宋_GB2312" w:hAnsi="仿宋_GB2312" w:eastAsia="仿宋_GB2312" w:cs="仿宋_GB2312"/>
          <w:i w:val="0"/>
          <w:caps w:val="0"/>
          <w:spacing w:val="0"/>
          <w:sz w:val="30"/>
          <w:szCs w:val="30"/>
        </w:rPr>
        <w:t>个人客户持本人有效身份证件和我行银行卡到网点柜面或使用我行手机银行均可购买。</w:t>
      </w:r>
    </w:p>
    <w:p>
      <w:pPr>
        <w:ind w:firstLine="585"/>
        <w:rPr>
          <w:rFonts w:hint="eastAsia" w:ascii="仿宋_GB2312" w:hAnsi="仿宋_GB2312" w:eastAsia="仿宋_GB2312" w:cs="仿宋_GB2312"/>
          <w:i w:val="0"/>
          <w:caps w:val="0"/>
          <w:spacing w:val="0"/>
          <w:sz w:val="30"/>
          <w:szCs w:val="30"/>
          <w:lang w:eastAsia="zh-CN"/>
        </w:rPr>
      </w:pPr>
      <w:r>
        <w:rPr>
          <w:rFonts w:hint="eastAsia" w:ascii="仿宋_GB2312" w:hAnsi="仿宋_GB2312" w:eastAsia="仿宋_GB2312" w:cs="仿宋_GB2312"/>
          <w:i w:val="0"/>
          <w:caps w:val="0"/>
          <w:spacing w:val="0"/>
          <w:sz w:val="30"/>
          <w:szCs w:val="30"/>
          <w:lang w:eastAsia="zh-CN"/>
        </w:rPr>
        <w:t>本次大额存单产品</w:t>
      </w:r>
      <w:bookmarkStart w:id="0" w:name="_GoBack"/>
      <w:bookmarkEnd w:id="0"/>
      <w:r>
        <w:rPr>
          <w:rFonts w:hint="eastAsia" w:ascii="仿宋_GB2312" w:eastAsia="仿宋_GB2312"/>
          <w:sz w:val="30"/>
          <w:szCs w:val="30"/>
          <w:highlight w:val="none"/>
          <w:lang w:val="en-US" w:eastAsia="zh-CN"/>
        </w:rPr>
        <w:t>3年期仅泰安地区</w:t>
      </w:r>
      <w:r>
        <w:rPr>
          <w:rFonts w:hint="eastAsia" w:ascii="仿宋_GB2312" w:eastAsia="仿宋_GB2312"/>
          <w:sz w:val="30"/>
          <w:szCs w:val="30"/>
          <w:highlight w:val="none"/>
        </w:rPr>
        <w:t>发售</w:t>
      </w:r>
      <w:r>
        <w:rPr>
          <w:rFonts w:hint="eastAsia" w:ascii="仿宋_GB2312" w:eastAsia="仿宋_GB2312"/>
          <w:sz w:val="30"/>
          <w:szCs w:val="30"/>
          <w:highlight w:val="none"/>
          <w:lang w:eastAsia="zh-CN"/>
        </w:rPr>
        <w:t>。</w:t>
      </w:r>
      <w:r>
        <w:rPr>
          <w:rFonts w:hint="eastAsia" w:ascii="仿宋_GB2312" w:eastAsia="仿宋_GB2312"/>
          <w:sz w:val="30"/>
          <w:szCs w:val="30"/>
          <w:highlight w:val="none"/>
        </w:rPr>
        <w:t xml:space="preserve">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rPr>
          <w:rFonts w:hint="eastAsia" w:ascii="仿宋_GB2312" w:hAnsi="仿宋_GB2312" w:eastAsia="仿宋_GB2312" w:cs="仿宋_GB2312"/>
          <w:sz w:val="30"/>
          <w:szCs w:val="30"/>
        </w:rPr>
      </w:pPr>
      <w:r>
        <w:rPr>
          <w:rFonts w:hint="eastAsia" w:ascii="仿宋_GB2312" w:hAnsi="仿宋_GB2312" w:eastAsia="仿宋_GB2312" w:cs="仿宋_GB2312"/>
          <w:i w:val="0"/>
          <w:caps w:val="0"/>
          <w:spacing w:val="0"/>
          <w:sz w:val="30"/>
          <w:szCs w:val="30"/>
        </w:rPr>
        <w:t>　</w:t>
      </w:r>
      <w:r>
        <w:rPr>
          <w:rFonts w:hint="eastAsia" w:ascii="仿宋_GB2312" w:hAnsi="仿宋_GB2312" w:eastAsia="仿宋_GB2312" w:cs="仿宋_GB2312"/>
          <w:b/>
          <w:bCs/>
          <w:i w:val="0"/>
          <w:caps w:val="0"/>
          <w:spacing w:val="0"/>
          <w:sz w:val="30"/>
          <w:szCs w:val="30"/>
        </w:rPr>
        <w:t>　五、产品优势：</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rPr>
          <w:rFonts w:hint="eastAsia" w:ascii="仿宋_GB2312" w:hAnsi="仿宋_GB2312" w:eastAsia="仿宋_GB2312" w:cs="仿宋_GB2312"/>
          <w:sz w:val="30"/>
          <w:szCs w:val="30"/>
        </w:rPr>
      </w:pPr>
      <w:r>
        <w:rPr>
          <w:rFonts w:hint="eastAsia" w:ascii="仿宋_GB2312" w:hAnsi="仿宋_GB2312" w:eastAsia="仿宋_GB2312" w:cs="仿宋_GB2312"/>
          <w:i w:val="0"/>
          <w:caps w:val="0"/>
          <w:spacing w:val="0"/>
          <w:sz w:val="30"/>
          <w:szCs w:val="30"/>
        </w:rPr>
        <w:t>　　1、收益率高：较同期限定期存款收益更高；</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rPr>
          <w:rFonts w:hint="eastAsia" w:ascii="仿宋_GB2312" w:hAnsi="仿宋_GB2312" w:eastAsia="仿宋_GB2312" w:cs="仿宋_GB2312"/>
          <w:sz w:val="30"/>
          <w:szCs w:val="30"/>
        </w:rPr>
      </w:pPr>
      <w:r>
        <w:rPr>
          <w:rFonts w:hint="eastAsia" w:ascii="仿宋_GB2312" w:hAnsi="仿宋_GB2312" w:eastAsia="仿宋_GB2312" w:cs="仿宋_GB2312"/>
          <w:i w:val="0"/>
          <w:caps w:val="0"/>
          <w:spacing w:val="0"/>
          <w:sz w:val="30"/>
          <w:szCs w:val="30"/>
        </w:rPr>
        <w:t>　　2、流动性好：可办理全部/部分提前支取、质押贷款及存款证明；</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rPr>
          <w:rFonts w:hint="eastAsia" w:ascii="仿宋_GB2312" w:hAnsi="仿宋_GB2312" w:eastAsia="仿宋_GB2312" w:cs="仿宋_GB2312"/>
          <w:sz w:val="30"/>
          <w:szCs w:val="30"/>
        </w:rPr>
      </w:pPr>
      <w:r>
        <w:rPr>
          <w:rFonts w:hint="eastAsia" w:ascii="仿宋_GB2312" w:hAnsi="仿宋_GB2312" w:eastAsia="仿宋_GB2312" w:cs="仿宋_GB2312"/>
          <w:i w:val="0"/>
          <w:caps w:val="0"/>
          <w:spacing w:val="0"/>
          <w:sz w:val="30"/>
          <w:szCs w:val="30"/>
        </w:rPr>
        <w:t>　　3、灵活性佳：多期限选择，可满足多元化配置需求；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rPr>
          <w:rFonts w:hint="eastAsia" w:ascii="仿宋_GB2312" w:hAnsi="仿宋_GB2312" w:eastAsia="仿宋_GB2312" w:cs="仿宋_GB2312"/>
          <w:sz w:val="30"/>
          <w:szCs w:val="30"/>
        </w:rPr>
      </w:pPr>
      <w:r>
        <w:rPr>
          <w:rFonts w:hint="eastAsia" w:ascii="仿宋_GB2312" w:hAnsi="仿宋_GB2312" w:eastAsia="仿宋_GB2312" w:cs="仿宋_GB2312"/>
          <w:i w:val="0"/>
          <w:caps w:val="0"/>
          <w:spacing w:val="0"/>
          <w:sz w:val="30"/>
          <w:szCs w:val="30"/>
        </w:rPr>
        <w:t>　　4、安全性强：保本保息，受存款保险政策保护。</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rPr>
          <w:rFonts w:hint="eastAsia" w:ascii="仿宋_GB2312" w:hAnsi="仿宋_GB2312" w:eastAsia="仿宋_GB2312" w:cs="仿宋_GB2312"/>
          <w:sz w:val="30"/>
          <w:szCs w:val="30"/>
        </w:rPr>
      </w:pPr>
      <w:r>
        <w:rPr>
          <w:rFonts w:hint="eastAsia" w:ascii="仿宋_GB2312" w:hAnsi="仿宋_GB2312" w:eastAsia="仿宋_GB2312" w:cs="仿宋_GB2312"/>
          <w:i w:val="0"/>
          <w:caps w:val="0"/>
          <w:spacing w:val="0"/>
          <w:sz w:val="30"/>
          <w:szCs w:val="30"/>
        </w:rPr>
        <w:t>　</w:t>
      </w:r>
      <w:r>
        <w:rPr>
          <w:rFonts w:hint="eastAsia" w:ascii="仿宋_GB2312" w:hAnsi="仿宋_GB2312" w:eastAsia="仿宋_GB2312" w:cs="仿宋_GB2312"/>
          <w:b/>
          <w:bCs/>
          <w:i w:val="0"/>
          <w:caps w:val="0"/>
          <w:spacing w:val="0"/>
          <w:sz w:val="30"/>
          <w:szCs w:val="30"/>
        </w:rPr>
        <w:t>　友情提示：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rPr>
          <w:rFonts w:hint="eastAsia" w:ascii="仿宋_GB2312" w:hAnsi="仿宋_GB2312" w:eastAsia="仿宋_GB2312" w:cs="仿宋_GB2312"/>
          <w:sz w:val="30"/>
          <w:szCs w:val="30"/>
        </w:rPr>
      </w:pPr>
      <w:r>
        <w:rPr>
          <w:rFonts w:hint="eastAsia" w:ascii="仿宋_GB2312" w:hAnsi="仿宋_GB2312" w:eastAsia="仿宋_GB2312" w:cs="仿宋_GB2312"/>
          <w:i w:val="0"/>
          <w:caps w:val="0"/>
          <w:spacing w:val="0"/>
          <w:sz w:val="30"/>
          <w:szCs w:val="30"/>
        </w:rPr>
        <w:t>　　本产品采用电子化方式发售。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rPr>
          <w:rFonts w:hint="eastAsia" w:ascii="仿宋_GB2312" w:hAnsi="仿宋_GB2312" w:eastAsia="仿宋_GB2312" w:cs="仿宋_GB2312"/>
          <w:sz w:val="30"/>
          <w:szCs w:val="30"/>
        </w:rPr>
      </w:pPr>
      <w:r>
        <w:rPr>
          <w:rFonts w:hint="eastAsia" w:ascii="仿宋_GB2312" w:hAnsi="仿宋_GB2312" w:eastAsia="仿宋_GB2312" w:cs="仿宋_GB2312"/>
          <w:i w:val="0"/>
          <w:caps w:val="0"/>
          <w:spacing w:val="0"/>
          <w:sz w:val="30"/>
          <w:szCs w:val="30"/>
        </w:rPr>
        <w:t>　　本产品不可自动转存。</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rPr>
          <w:rFonts w:hint="eastAsia" w:ascii="仿宋_GB2312" w:hAnsi="仿宋_GB2312" w:eastAsia="仿宋_GB2312" w:cs="仿宋_GB2312"/>
          <w:b/>
          <w:bCs/>
          <w:sz w:val="30"/>
          <w:szCs w:val="30"/>
        </w:rPr>
      </w:pPr>
      <w:r>
        <w:rPr>
          <w:rFonts w:hint="eastAsia" w:ascii="仿宋_GB2312" w:hAnsi="仿宋_GB2312" w:eastAsia="仿宋_GB2312" w:cs="仿宋_GB2312"/>
          <w:i w:val="0"/>
          <w:caps w:val="0"/>
          <w:spacing w:val="0"/>
          <w:sz w:val="30"/>
          <w:szCs w:val="30"/>
        </w:rPr>
        <w:t>　　</w:t>
      </w:r>
      <w:r>
        <w:rPr>
          <w:rFonts w:hint="eastAsia" w:ascii="仿宋_GB2312" w:hAnsi="仿宋_GB2312" w:eastAsia="仿宋_GB2312" w:cs="仿宋_GB2312"/>
          <w:b/>
          <w:bCs/>
          <w:i w:val="0"/>
          <w:caps w:val="0"/>
          <w:spacing w:val="0"/>
          <w:sz w:val="30"/>
          <w:szCs w:val="30"/>
        </w:rPr>
        <w:t>本产品额度有限，先到先得，售罄为止。</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rPr>
          <w:rFonts w:hint="eastAsia" w:ascii="仿宋_GB2312" w:hAnsi="仿宋_GB2312" w:eastAsia="仿宋_GB2312" w:cs="仿宋_GB2312"/>
          <w:sz w:val="30"/>
          <w:szCs w:val="30"/>
        </w:rPr>
      </w:pPr>
      <w:r>
        <w:rPr>
          <w:rFonts w:hint="eastAsia" w:ascii="仿宋_GB2312" w:hAnsi="仿宋_GB2312" w:eastAsia="仿宋_GB2312" w:cs="仿宋_GB2312"/>
          <w:i w:val="0"/>
          <w:caps w:val="0"/>
          <w:spacing w:val="0"/>
          <w:sz w:val="30"/>
          <w:szCs w:val="30"/>
        </w:rPr>
        <w:t>　　详情请咨询泰安银行各营业网点或0538-96588客服电话。</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rPr>
          <w:rFonts w:hint="eastAsia" w:ascii="仿宋_GB2312" w:hAnsi="仿宋_GB2312" w:eastAsia="仿宋_GB2312" w:cs="仿宋_GB2312"/>
          <w:sz w:val="30"/>
          <w:szCs w:val="30"/>
        </w:rPr>
      </w:pPr>
      <w:r>
        <w:rPr>
          <w:rFonts w:hint="eastAsia" w:ascii="仿宋_GB2312" w:hAnsi="仿宋_GB2312" w:eastAsia="仿宋_GB2312" w:cs="仿宋_GB2312"/>
          <w:i w:val="0"/>
          <w:caps w:val="0"/>
          <w:spacing w:val="0"/>
          <w:sz w:val="30"/>
          <w:szCs w:val="30"/>
        </w:rPr>
        <w:t>　　特此公告。</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right"/>
        <w:rPr>
          <w:rFonts w:hint="eastAsia" w:ascii="仿宋_GB2312" w:hAnsi="仿宋_GB2312" w:eastAsia="仿宋_GB2312" w:cs="仿宋_GB2312"/>
          <w:i w:val="0"/>
          <w:caps w:val="0"/>
          <w:spacing w:val="0"/>
          <w:sz w:val="30"/>
          <w:szCs w:val="30"/>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right"/>
        <w:rPr>
          <w:rFonts w:hint="eastAsia" w:ascii="仿宋_GB2312" w:hAnsi="仿宋_GB2312" w:eastAsia="仿宋_GB2312" w:cs="仿宋_GB2312"/>
          <w:sz w:val="30"/>
          <w:szCs w:val="30"/>
        </w:rPr>
      </w:pPr>
      <w:r>
        <w:rPr>
          <w:rFonts w:hint="eastAsia" w:ascii="仿宋_GB2312" w:hAnsi="仿宋_GB2312" w:eastAsia="仿宋_GB2312" w:cs="仿宋_GB2312"/>
          <w:i w:val="0"/>
          <w:caps w:val="0"/>
          <w:spacing w:val="0"/>
          <w:sz w:val="30"/>
          <w:szCs w:val="30"/>
        </w:rPr>
        <w:t>　　泰安银行股份有限公司</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right"/>
        <w:rPr>
          <w:rFonts w:hint="eastAsia" w:ascii="仿宋_GB2312" w:hAnsi="仿宋_GB2312" w:eastAsia="仿宋_GB2312" w:cs="仿宋_GB2312"/>
          <w:sz w:val="30"/>
          <w:szCs w:val="30"/>
        </w:rPr>
      </w:pPr>
      <w:r>
        <w:rPr>
          <w:rFonts w:hint="eastAsia" w:ascii="仿宋_GB2312" w:hAnsi="仿宋_GB2312" w:eastAsia="仿宋_GB2312" w:cs="仿宋_GB2312"/>
          <w:i w:val="0"/>
          <w:caps w:val="0"/>
          <w:spacing w:val="0"/>
          <w:sz w:val="30"/>
          <w:szCs w:val="30"/>
        </w:rPr>
        <w:t>　　二〇二</w:t>
      </w:r>
      <w:r>
        <w:rPr>
          <w:rFonts w:hint="eastAsia" w:ascii="仿宋_GB2312" w:hAnsi="仿宋_GB2312" w:eastAsia="仿宋_GB2312" w:cs="仿宋_GB2312"/>
          <w:i w:val="0"/>
          <w:caps w:val="0"/>
          <w:spacing w:val="0"/>
          <w:sz w:val="30"/>
          <w:szCs w:val="30"/>
          <w:lang w:eastAsia="zh-CN"/>
        </w:rPr>
        <w:t>六</w:t>
      </w:r>
      <w:r>
        <w:rPr>
          <w:rFonts w:hint="eastAsia" w:ascii="仿宋_GB2312" w:hAnsi="仿宋_GB2312" w:eastAsia="仿宋_GB2312" w:cs="仿宋_GB2312"/>
          <w:i w:val="0"/>
          <w:caps w:val="0"/>
          <w:spacing w:val="0"/>
          <w:sz w:val="30"/>
          <w:szCs w:val="30"/>
        </w:rPr>
        <w:t>年</w:t>
      </w:r>
      <w:r>
        <w:rPr>
          <w:rFonts w:hint="eastAsia" w:ascii="仿宋_GB2312" w:hAnsi="仿宋_GB2312" w:eastAsia="仿宋_GB2312" w:cs="仿宋_GB2312"/>
          <w:i w:val="0"/>
          <w:caps w:val="0"/>
          <w:spacing w:val="0"/>
          <w:sz w:val="30"/>
          <w:szCs w:val="30"/>
          <w:lang w:val="en-US" w:eastAsia="zh-CN"/>
        </w:rPr>
        <w:t>七</w:t>
      </w:r>
      <w:r>
        <w:rPr>
          <w:rFonts w:hint="eastAsia" w:ascii="仿宋_GB2312" w:hAnsi="仿宋_GB2312" w:eastAsia="仿宋_GB2312" w:cs="仿宋_GB2312"/>
          <w:i w:val="0"/>
          <w:caps w:val="0"/>
          <w:spacing w:val="0"/>
          <w:sz w:val="30"/>
          <w:szCs w:val="30"/>
          <w:lang w:eastAsia="zh-CN"/>
        </w:rPr>
        <w:t>月十</w:t>
      </w:r>
      <w:r>
        <w:rPr>
          <w:rFonts w:hint="eastAsia" w:ascii="仿宋_GB2312" w:hAnsi="仿宋_GB2312" w:eastAsia="仿宋_GB2312" w:cs="仿宋_GB2312"/>
          <w:i w:val="0"/>
          <w:caps w:val="0"/>
          <w:spacing w:val="0"/>
          <w:sz w:val="30"/>
          <w:szCs w:val="30"/>
          <w:lang w:val="en-US" w:eastAsia="zh-CN"/>
        </w:rPr>
        <w:t>五</w:t>
      </w:r>
      <w:r>
        <w:rPr>
          <w:rFonts w:hint="eastAsia" w:ascii="仿宋_GB2312" w:hAnsi="仿宋_GB2312" w:eastAsia="仿宋_GB2312" w:cs="仿宋_GB2312"/>
          <w:i w:val="0"/>
          <w:caps w:val="0"/>
          <w:spacing w:val="0"/>
          <w:sz w:val="30"/>
          <w:szCs w:val="30"/>
        </w:rPr>
        <w:t>日</w:t>
      </w:r>
    </w:p>
    <w:p>
      <w:pPr>
        <w:rPr>
          <w:rFonts w:hint="eastAsia" w:ascii="仿宋_GB2312" w:hAnsi="仿宋_GB2312" w:eastAsia="仿宋_GB2312" w:cs="仿宋_GB2312"/>
          <w:sz w:val="30"/>
          <w:szCs w:val="3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957B87"/>
    <w:rsid w:val="09AA22A3"/>
    <w:rsid w:val="0AFF09A4"/>
    <w:rsid w:val="0EF96BC8"/>
    <w:rsid w:val="10E73227"/>
    <w:rsid w:val="11AD1929"/>
    <w:rsid w:val="140249E4"/>
    <w:rsid w:val="15B246DA"/>
    <w:rsid w:val="18C774B0"/>
    <w:rsid w:val="192B0ED9"/>
    <w:rsid w:val="1D484AB8"/>
    <w:rsid w:val="22F90425"/>
    <w:rsid w:val="235860CE"/>
    <w:rsid w:val="248207A4"/>
    <w:rsid w:val="24B543EA"/>
    <w:rsid w:val="266C1323"/>
    <w:rsid w:val="27AB505A"/>
    <w:rsid w:val="2B512E2F"/>
    <w:rsid w:val="2BF7608F"/>
    <w:rsid w:val="2CF03BC6"/>
    <w:rsid w:val="2F4C7120"/>
    <w:rsid w:val="32D37383"/>
    <w:rsid w:val="35A31D13"/>
    <w:rsid w:val="3E8A4E0A"/>
    <w:rsid w:val="42820FEA"/>
    <w:rsid w:val="428C1F9E"/>
    <w:rsid w:val="44D93808"/>
    <w:rsid w:val="468D4F99"/>
    <w:rsid w:val="49F312D2"/>
    <w:rsid w:val="4A110F55"/>
    <w:rsid w:val="4E183268"/>
    <w:rsid w:val="4E216D76"/>
    <w:rsid w:val="4FC42D61"/>
    <w:rsid w:val="514E40AB"/>
    <w:rsid w:val="58FE1EE6"/>
    <w:rsid w:val="5AFE3BA5"/>
    <w:rsid w:val="60FB3C25"/>
    <w:rsid w:val="62222F08"/>
    <w:rsid w:val="630D2410"/>
    <w:rsid w:val="667D15AA"/>
    <w:rsid w:val="68865E50"/>
    <w:rsid w:val="69DD3E68"/>
    <w:rsid w:val="6CD80E64"/>
    <w:rsid w:val="6E293E8A"/>
    <w:rsid w:val="6F772EAB"/>
    <w:rsid w:val="7CAB03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6"/>
    <w:basedOn w:val="1"/>
    <w:next w:val="1"/>
    <w:semiHidden/>
    <w:unhideWhenUsed/>
    <w:qFormat/>
    <w:uiPriority w:val="0"/>
    <w:pPr>
      <w:spacing w:before="0" w:beforeAutospacing="1" w:after="0" w:afterAutospacing="1"/>
      <w:jc w:val="left"/>
    </w:pPr>
    <w:rPr>
      <w:rFonts w:hint="eastAsia" w:ascii="宋体" w:hAnsi="宋体" w:eastAsia="宋体" w:cs="宋体"/>
      <w:b/>
      <w:kern w:val="0"/>
      <w:sz w:val="15"/>
      <w:szCs w:val="15"/>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Office_11.8.6.9023_F1E327BC-269C-435d-A152-05C5408002CA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2024-12-31T09:34:00Z</dcterms:created>
  <dc:creator>Administrator</dc:creator>
  <cp:lastModifiedBy>Administrator</cp:lastModifiedBy>
  <dcterms:modified xsi:type="dcterms:W3CDTF">2026-07-14T09:07:27Z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2052-11.8.6.9023</vt:lpwstr>
  </property>
</Properties>
</file>