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sz w:val="36"/>
          <w:szCs w:val="36"/>
        </w:rPr>
      </w:pPr>
      <w:r>
        <w:rPr>
          <w:rFonts w:hint="eastAsia" w:ascii="黑体" w:hAnsi="黑体" w:eastAsia="黑体" w:cs="黑体"/>
          <w:b/>
          <w:sz w:val="36"/>
          <w:szCs w:val="36"/>
          <w:lang w:eastAsia="zh-CN"/>
        </w:rPr>
        <w:t>恒丰理财恒仁新恒梦钱包</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2025年上半年度运作报告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2025年0</w:t>
      </w:r>
      <w:r>
        <w:rPr>
          <w:rFonts w:hint="eastAsia" w:ascii="宋体" w:hAnsi="宋体" w:cs="宋体"/>
          <w:b/>
          <w:sz w:val="24"/>
          <w:szCs w:val="24"/>
          <w:lang w:val="en-US" w:eastAsia="zh-CN"/>
        </w:rPr>
        <w:t>1</w:t>
      </w:r>
      <w:r>
        <w:rPr>
          <w:rFonts w:hint="eastAsia" w:ascii="宋体" w:hAnsi="宋体" w:cs="宋体"/>
          <w:b/>
          <w:sz w:val="24"/>
          <w:szCs w:val="24"/>
          <w:lang w:eastAsia="zh-CN"/>
        </w:rPr>
        <w:t>月01日至2025年06月30日</w:t>
      </w:r>
    </w:p>
    <w:p>
      <w:pPr>
        <w:jc w:val="left"/>
        <w:rPr>
          <w:rFonts w:ascii="微软雅黑" w:hAnsi="微软雅黑" w:eastAsia="微软雅黑"/>
          <w:b/>
          <w:sz w:val="28"/>
          <w:szCs w:val="28"/>
        </w:rPr>
      </w:pPr>
    </w:p>
    <w:p>
      <w:pPr>
        <w:pStyle w:val="27"/>
        <w:ind w:left="720" w:firstLine="0"/>
        <w:rPr>
          <w:rFonts w:ascii="宋体" w:hAnsi="宋体" w:cs="宋体"/>
          <w:b/>
          <w:sz w:val="24"/>
          <w:szCs w:val="24"/>
        </w:rPr>
      </w:pPr>
    </w:p>
    <w:p>
      <w:pPr>
        <w:pStyle w:val="27"/>
        <w:ind w:left="720" w:firstLine="0"/>
        <w:rPr>
          <w:rFonts w:ascii="宋体" w:hAnsi="宋体" w:cs="宋体"/>
          <w:b/>
          <w:sz w:val="24"/>
          <w:szCs w:val="24"/>
        </w:rPr>
      </w:pPr>
    </w:p>
    <w:p>
      <w:pPr>
        <w:pStyle w:val="27"/>
        <w:ind w:left="720" w:firstLine="0"/>
        <w:rPr>
          <w:rFonts w:ascii="宋体" w:hAnsi="宋体" w:cs="宋体"/>
          <w:b/>
          <w:sz w:val="24"/>
          <w:szCs w:val="24"/>
        </w:rPr>
      </w:pPr>
    </w:p>
    <w:p>
      <w:pPr>
        <w:pStyle w:val="27"/>
        <w:ind w:left="720" w:firstLine="0"/>
        <w:rPr>
          <w:rFonts w:ascii="宋体" w:hAnsi="宋体" w:cs="宋体"/>
          <w:b/>
          <w:sz w:val="24"/>
          <w:szCs w:val="24"/>
        </w:rPr>
      </w:pPr>
    </w:p>
    <w:p>
      <w:pPr>
        <w:pStyle w:val="27"/>
        <w:ind w:left="720" w:firstLine="0"/>
        <w:rPr>
          <w:rFonts w:ascii="宋体" w:hAnsi="宋体" w:cs="宋体"/>
          <w:b/>
          <w:sz w:val="24"/>
          <w:szCs w:val="24"/>
        </w:rPr>
      </w:pPr>
    </w:p>
    <w:p>
      <w:pPr>
        <w:pStyle w:val="27"/>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5"/>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恒丰理财恒仁新恒梦钱包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TTY22001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Z7008122000012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一级(低)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2022年04月25日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2099年12月31日</w:t>
            </w:r>
          </w:p>
        </w:tc>
      </w:tr>
    </w:tbl>
    <w:p>
      <w:pPr>
        <w:pStyle w:val="27"/>
        <w:ind w:firstLine="0"/>
        <w:rPr>
          <w:rFonts w:ascii="宋体" w:hAnsi="宋体" w:eastAsia="宋体" w:cs="宋体"/>
          <w:b/>
          <w:kern w:val="2"/>
          <w:sz w:val="24"/>
          <w:szCs w:val="24"/>
          <w:lang w:val="en-US" w:eastAsia="zh-CN" w:bidi="ar-SA"/>
        </w:rPr>
      </w:pPr>
    </w:p>
    <w:p>
      <w:pPr>
        <w:pStyle w:val="27"/>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hint="eastAsia" w:ascii="宋体" w:hAnsi="宋体" w:cs="宋体"/>
          <w:sz w:val="24"/>
          <w:szCs w:val="24"/>
        </w:rPr>
      </w:pPr>
      <w:r>
        <w:rPr>
          <w:rFonts w:hint="eastAsia" w:ascii="宋体" w:hAnsi="宋体" w:cs="宋体"/>
          <w:sz w:val="24"/>
          <w:szCs w:val="24"/>
        </w:rPr>
        <w:t>截至报告期末，理财产品存续规模及净值表现如下</w:t>
      </w:r>
    </w:p>
    <w:tbl>
      <w:tblPr>
        <w:tblStyle w:val="1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4,914,932,225.04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其中：恒丰理财恒仁新恒梦钱包A类产品份额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4,647,736,748.44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2,640,584.63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52,957,758.19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恒丰理财恒仁新恒梦钱包D类产品份额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134,915,781.40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恒丰理财恒仁新恒梦钱包E类产品份额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76,681,352.38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理财产品万份收益</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理财产品万份收益：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0.4106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其中：恒丰理财恒仁新恒梦钱包A类产品万份收益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0.4101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恒丰理财恒仁新恒梦钱包B类产品万份收益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0.3721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恒丰理财恒仁新恒梦钱包C类产品万份收益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0.4282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恒丰理财恒仁新恒梦钱包D类产品万份收益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0.4262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恒丰理财恒仁新恒梦钱包E类产品万份收益</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0.3995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理财产品七日年化收益率</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理财产品七日年化收益率：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其中：恒丰理财恒仁新恒梦钱包A类产品七日年化收益率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恒丰理财恒仁新恒梦钱包B类产品七日年化收益率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恒丰理财恒仁新恒梦钱包C类产品七日年化收益率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恒丰理财恒仁新恒梦钱包D类产品七日年化收益率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恒丰理财恒仁新恒梦钱包E类产品七日年化收益率</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4,914,932,225.04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其中：恒丰理财恒仁新恒梦钱包A类产品资产净值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4,647,736,748.44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2,640,584.63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52,957,758.19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恒丰理财恒仁新恒梦钱包D类产品资产净值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134,915,781.40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恒丰理财恒仁新恒梦钱包E类产品资产净值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76,681,352.38</w:t>
            </w:r>
          </w:p>
        </w:tc>
      </w:tr>
    </w:tbl>
    <w:p>
      <w:pPr>
        <w:pStyle w:val="27"/>
        <w:ind w:firstLine="0"/>
        <w:rPr>
          <w:rFonts w:ascii="宋体" w:hAnsi="宋体" w:cs="宋体"/>
          <w:sz w:val="24"/>
          <w:szCs w:val="24"/>
        </w:rPr>
      </w:pPr>
    </w:p>
    <w:p>
      <w:pPr>
        <w:pStyle w:val="27"/>
        <w:numPr>
          <w:ilvl w:val="0"/>
          <w:numId w:val="2"/>
        </w:numPr>
        <w:rPr>
          <w:rFonts w:ascii="宋体" w:hAnsi="宋体" w:cs="宋体"/>
          <w:b/>
          <w:sz w:val="24"/>
          <w:szCs w:val="24"/>
        </w:rPr>
      </w:pPr>
      <w:r>
        <w:rPr>
          <w:rFonts w:hint="eastAsia" w:ascii="宋体" w:hAnsi="宋体" w:cs="宋体"/>
          <w:b/>
          <w:sz w:val="24"/>
          <w:szCs w:val="24"/>
        </w:rPr>
        <w:t>期末产品资产持仓情况</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7.60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36.92</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25.12</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30.36</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cs="Segoe UI"/>
                <w:color w:val="000000"/>
                <w:kern w:val="0"/>
                <w:sz w:val="22"/>
              </w:rPr>
            </w:pPr>
            <w:r>
              <w:rPr>
                <w:rFonts w:hint="eastAsia" w:ascii="宋体" w:hAnsi="宋体" w:cs="Segoe UI"/>
                <w:color w:val="000000"/>
                <w:kern w:val="0"/>
                <w:sz w:val="22"/>
                <w:lang w:val="en-US" w:eastAsia="zh-CN"/>
              </w:rPr>
              <w:t>0.00</w:t>
            </w:r>
          </w:p>
        </w:tc>
      </w:tr>
    </w:tbl>
    <w:p>
      <w:pPr>
        <w:rPr>
          <w:rFonts w:ascii="宋体" w:hAnsi="宋体" w:cs="宋体"/>
          <w:b/>
          <w:sz w:val="24"/>
          <w:szCs w:val="24"/>
        </w:rPr>
      </w:pPr>
      <w:r>
        <w:rPr>
          <w:rFonts w:hint="eastAsia" w:ascii="宋体" w:hAnsi="宋体" w:cs="宋体"/>
          <w:bCs/>
          <w:szCs w:val="21"/>
        </w:rPr>
        <w:t>截至报告期末本产品杠杆率为115.93%</w:t>
      </w:r>
    </w:p>
    <w:p>
      <w:pPr>
        <w:rPr>
          <w:rFonts w:ascii="宋体" w:hAnsi="宋体" w:cs="宋体"/>
          <w:b/>
          <w:sz w:val="24"/>
          <w:szCs w:val="24"/>
        </w:rPr>
      </w:pPr>
    </w:p>
    <w:p>
      <w:pPr>
        <w:pStyle w:val="27"/>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5"/>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895"/>
        <w:gridCol w:w="246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序号</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资产名称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资产余额(元)</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买入返售金融资产</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1,431,152,952.36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25.12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现金及证券清算款</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433,285,351.54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7.60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22光大集团MTN003</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204,952,879.35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4</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24农业银行CD192</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199,765,825.93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5</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24杭州银行CD166</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199,656,219.65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24交通银行CD356</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198,501,521.10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3.48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7</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22临港经济MTN001</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113,049,039.91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8</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24南电SCP005</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100,838,198.62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9</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25电网SCP004</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100,786,848.40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10</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24兴业银行CD196</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99,944,144.56 </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4"/>
                <w:u w:val="none"/>
              </w:rPr>
              <w:t xml:space="preserve">1.75 </w:t>
            </w:r>
          </w:p>
        </w:tc>
      </w:tr>
    </w:tbl>
    <w:p>
      <w:pPr>
        <w:rPr>
          <w:rFonts w:ascii="宋体" w:hAnsi="宋体" w:cs="宋体"/>
          <w:b/>
          <w:sz w:val="24"/>
          <w:szCs w:val="24"/>
        </w:rPr>
      </w:pPr>
    </w:p>
    <w:p>
      <w:pPr>
        <w:pStyle w:val="30"/>
        <w:spacing w:line="480" w:lineRule="auto"/>
        <w:ind w:firstLine="0" w:firstLineChars="0"/>
        <w:rPr>
          <w:rFonts w:hint="eastAsia" w:ascii="宋体" w:hAnsi="宋体" w:cs="宋体"/>
          <w:b/>
          <w:sz w:val="24"/>
          <w:szCs w:val="24"/>
        </w:rPr>
      </w:pPr>
      <w:r>
        <w:rPr>
          <w:rFonts w:hint="eastAsia" w:ascii="宋体" w:hAnsi="宋体" w:cs="宋体"/>
          <w:b/>
          <w:sz w:val="24"/>
          <w:szCs w:val="24"/>
        </w:rPr>
        <w:t>五、产品前十大投资者</w:t>
      </w:r>
    </w:p>
    <w:p>
      <w:pPr>
        <w:spacing w:line="360" w:lineRule="auto"/>
        <w:ind w:firstLine="480" w:firstLineChars="200"/>
        <w:rPr>
          <w:rFonts w:ascii="宋体" w:hAnsi="宋体"/>
          <w:sz w:val="24"/>
          <w:szCs w:val="24"/>
        </w:rPr>
      </w:pPr>
      <w:r>
        <w:rPr>
          <w:rFonts w:hint="eastAsia" w:ascii="宋体" w:hAnsi="宋体"/>
          <w:sz w:val="24"/>
          <w:szCs w:val="24"/>
        </w:rPr>
        <w:t>截至</w:t>
      </w:r>
      <w:r>
        <w:rPr>
          <w:rFonts w:hint="eastAsia" w:ascii="宋体" w:hAnsi="宋体"/>
          <w:kern w:val="0"/>
          <w:sz w:val="24"/>
          <w:szCs w:val="24"/>
        </w:rPr>
        <w:t>2025年06月30日</w:t>
      </w:r>
      <w:r>
        <w:rPr>
          <w:rFonts w:hint="eastAsia" w:ascii="宋体" w:hAnsi="宋体"/>
          <w:sz w:val="24"/>
          <w:szCs w:val="24"/>
        </w:rPr>
        <w:t>，</w:t>
      </w:r>
      <w:r>
        <w:rPr>
          <w:rFonts w:hint="eastAsia" w:ascii="宋体" w:hAnsi="宋体"/>
          <w:kern w:val="0"/>
          <w:sz w:val="24"/>
          <w:szCs w:val="24"/>
        </w:rPr>
        <w:t>本产品</w:t>
      </w:r>
      <w:r>
        <w:rPr>
          <w:rFonts w:hint="eastAsia" w:ascii="宋体" w:hAnsi="宋体"/>
          <w:sz w:val="24"/>
          <w:szCs w:val="24"/>
        </w:rPr>
        <w:t>前十大投资者持有份额合计</w:t>
      </w:r>
      <w:r>
        <w:rPr>
          <w:rFonts w:hint="eastAsia" w:ascii="宋体" w:hAnsi="宋体" w:eastAsia="宋体"/>
          <w:kern w:val="0"/>
          <w:sz w:val="24"/>
          <w:szCs w:val="24"/>
          <w:lang w:val="en-US" w:eastAsia="zh-CN"/>
        </w:rPr>
        <w:t>126,703,320.26</w:t>
      </w:r>
      <w:r>
        <w:rPr>
          <w:rFonts w:hint="eastAsia" w:ascii="宋体" w:hAnsi="宋体" w:eastAsia="宋体"/>
          <w:kern w:val="0"/>
          <w:sz w:val="24"/>
          <w:szCs w:val="24"/>
        </w:rPr>
        <w:t>元，前十</w:t>
      </w:r>
      <w:r>
        <w:rPr>
          <w:rFonts w:hint="eastAsia" w:ascii="宋体" w:hAnsi="宋体"/>
          <w:sz w:val="24"/>
          <w:szCs w:val="24"/>
        </w:rPr>
        <w:t>大投资者持有份额占产品总份额</w:t>
      </w:r>
      <w:r>
        <w:rPr>
          <w:rFonts w:hint="eastAsia" w:ascii="宋体" w:hAnsi="宋体"/>
          <w:sz w:val="24"/>
          <w:szCs w:val="24"/>
          <w:lang w:val="en-US" w:eastAsia="zh-CN"/>
        </w:rPr>
        <w:t>2.58</w:t>
      </w:r>
      <w:r>
        <w:rPr>
          <w:rFonts w:hint="eastAsia" w:ascii="宋体" w:hAnsi="宋体"/>
          <w:sz w:val="24"/>
          <w:szCs w:val="24"/>
        </w:rPr>
        <w:t>%。产品前十大投资者如下：</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9"/>
        <w:gridCol w:w="2123"/>
        <w:gridCol w:w="2595"/>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pStyle w:val="30"/>
              <w:spacing w:line="480" w:lineRule="auto"/>
              <w:ind w:firstLine="0" w:firstLineChars="0"/>
              <w:jc w:val="center"/>
              <w:rPr>
                <w:rFonts w:hint="eastAsia" w:ascii="宋体" w:hAnsi="宋体" w:cs="宋体"/>
                <w:b/>
                <w:szCs w:val="21"/>
              </w:rPr>
            </w:pPr>
            <w:r>
              <w:rPr>
                <w:rFonts w:hint="eastAsia" w:ascii="宋体" w:hAnsi="宋体" w:cs="宋体"/>
                <w:b/>
                <w:szCs w:val="21"/>
              </w:rPr>
              <w:t>序号</w:t>
            </w:r>
          </w:p>
        </w:tc>
        <w:tc>
          <w:tcPr>
            <w:tcW w:w="2123" w:type="dxa"/>
            <w:noWrap w:val="0"/>
            <w:vAlign w:val="top"/>
          </w:tcPr>
          <w:p>
            <w:pPr>
              <w:pStyle w:val="30"/>
              <w:spacing w:line="480" w:lineRule="auto"/>
              <w:ind w:firstLine="0" w:firstLineChars="0"/>
              <w:jc w:val="center"/>
              <w:rPr>
                <w:rFonts w:hint="eastAsia" w:ascii="宋体" w:hAnsi="宋体" w:cs="宋体"/>
                <w:b/>
                <w:szCs w:val="21"/>
              </w:rPr>
            </w:pPr>
            <w:r>
              <w:rPr>
                <w:rFonts w:hint="eastAsia" w:ascii="宋体" w:hAnsi="宋体" w:cs="宋体"/>
                <w:b/>
                <w:szCs w:val="21"/>
              </w:rPr>
              <w:t>投资者类别</w:t>
            </w:r>
          </w:p>
        </w:tc>
        <w:tc>
          <w:tcPr>
            <w:tcW w:w="2595" w:type="dxa"/>
            <w:noWrap w:val="0"/>
            <w:vAlign w:val="top"/>
          </w:tcPr>
          <w:p>
            <w:pPr>
              <w:pStyle w:val="30"/>
              <w:spacing w:line="480" w:lineRule="auto"/>
              <w:ind w:firstLine="0" w:firstLineChars="0"/>
              <w:jc w:val="center"/>
              <w:rPr>
                <w:rFonts w:hint="eastAsia" w:ascii="宋体" w:hAnsi="宋体" w:cs="宋体"/>
                <w:b/>
                <w:szCs w:val="21"/>
              </w:rPr>
            </w:pPr>
            <w:r>
              <w:rPr>
                <w:rFonts w:hint="eastAsia" w:ascii="宋体" w:hAnsi="宋体" w:cs="宋体"/>
                <w:b/>
                <w:szCs w:val="21"/>
              </w:rPr>
              <w:t>持有份额</w:t>
            </w:r>
          </w:p>
        </w:tc>
        <w:tc>
          <w:tcPr>
            <w:tcW w:w="2134" w:type="dxa"/>
            <w:noWrap w:val="0"/>
            <w:vAlign w:val="top"/>
          </w:tcPr>
          <w:p>
            <w:pPr>
              <w:pStyle w:val="30"/>
              <w:spacing w:line="480" w:lineRule="auto"/>
              <w:ind w:firstLine="0" w:firstLineChars="0"/>
              <w:jc w:val="center"/>
              <w:rPr>
                <w:rFonts w:hint="eastAsia" w:ascii="宋体" w:hAnsi="宋体" w:cs="宋体"/>
                <w:b/>
                <w:szCs w:val="21"/>
              </w:rPr>
            </w:pPr>
            <w:r>
              <w:rPr>
                <w:rFonts w:hint="eastAsia" w:ascii="宋体" w:hAnsi="宋体" w:cs="宋体"/>
                <w:b/>
                <w:szCs w:val="21"/>
              </w:rPr>
              <w:t>份额占比</w:t>
            </w:r>
            <w:r>
              <w:rPr>
                <w:rFonts w:hint="eastAsia" w:ascii="宋体" w:hAnsi="宋体" w:cs="宋体"/>
                <w:b/>
                <w:szCs w:val="21"/>
                <w:lang w:eastAsia="zh-CN"/>
              </w:rPr>
              <w:t>（</w:t>
            </w:r>
            <w:r>
              <w:rPr>
                <w:rFonts w:hint="eastAsia" w:ascii="宋体" w:hAnsi="宋体" w:cs="宋体"/>
                <w:b/>
                <w:szCs w:val="21"/>
              </w:rPr>
              <w:t>%</w:t>
            </w:r>
            <w:r>
              <w:rPr>
                <w:rFonts w:hint="eastAsia" w:ascii="宋体" w:hAnsi="宋体" w:cs="宋体"/>
                <w:b/>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机构</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25,169,469.58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0.51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18,345,295.14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12,164,520.90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机构</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11,044,936.56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10,717,122.16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10,042,030.71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机构</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10,031,312.14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机构</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10,031,312.14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10,000,735.04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123" w:type="dxa"/>
            <w:noWrap w:val="0"/>
            <w:vAlign w:val="center"/>
          </w:tcPr>
          <w:p>
            <w:pPr>
              <w:keepNext w:val="0"/>
              <w:keepLines w:val="0"/>
              <w:widowControl/>
              <w:suppressLineNumbers w:val="0"/>
              <w:jc w:val="center"/>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个人</w:t>
            </w:r>
          </w:p>
        </w:tc>
        <w:tc>
          <w:tcPr>
            <w:tcW w:w="2595"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9,156,585.89 </w:t>
            </w:r>
          </w:p>
        </w:tc>
        <w:tc>
          <w:tcPr>
            <w:tcW w:w="2134" w:type="dxa"/>
            <w:noWrap w:val="0"/>
            <w:vAlign w:val="center"/>
          </w:tcPr>
          <w:p>
            <w:pPr>
              <w:keepNext w:val="0"/>
              <w:keepLines w:val="0"/>
              <w:widowControl/>
              <w:suppressLineNumbers w:val="0"/>
              <w:jc w:val="right"/>
              <w:textAlignment w:val="center"/>
              <w:rPr>
                <w:rFonts w:hint="eastAsia" w:ascii="黑体" w:hAnsi="黑体" w:eastAsia="黑体" w:cs="黑体"/>
                <w:color w:val="auto"/>
                <w:sz w:val="32"/>
                <w:szCs w:val="32"/>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 0.19 </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eastAsia="zh-CN"/>
        </w:rPr>
        <w:t>六</w:t>
      </w:r>
      <w:r>
        <w:rPr>
          <w:rFonts w:hint="eastAsia" w:ascii="宋体" w:hAnsi="宋体" w:cs="宋体"/>
          <w:b/>
          <w:sz w:val="24"/>
          <w:szCs w:val="24"/>
        </w:rPr>
        <w:t>、非标准化债权类资产情况</w:t>
      </w:r>
    </w:p>
    <w:p>
      <w:pPr>
        <w:ind w:firstLine="480"/>
        <w:rPr>
          <w:rFonts w:ascii="宋体" w:hAnsi="宋体" w:cs="宋体"/>
          <w:sz w:val="24"/>
          <w:szCs w:val="24"/>
        </w:rPr>
      </w:pPr>
      <w:r>
        <w:rPr>
          <w:rFonts w:hint="eastAsia" w:ascii="宋体" w:hAnsi="宋体" w:cs="宋体"/>
          <w:sz w:val="24"/>
          <w:szCs w:val="24"/>
        </w:rPr>
        <w:t>无</w:t>
      </w:r>
    </w:p>
    <w:p>
      <w:pPr>
        <w:rPr>
          <w:rFonts w:ascii="宋体" w:hAnsi="宋体" w:cs="宋体"/>
          <w:b/>
          <w:sz w:val="24"/>
          <w:szCs w:val="24"/>
        </w:rPr>
      </w:pPr>
    </w:p>
    <w:p>
      <w:pPr>
        <w:ind w:firstLine="72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eastAsia="zh-CN"/>
        </w:rPr>
        <w:t>七</w:t>
      </w:r>
      <w:r>
        <w:rPr>
          <w:rFonts w:hint="eastAsia" w:ascii="宋体" w:hAnsi="宋体" w:cs="宋体"/>
          <w:b/>
          <w:sz w:val="24"/>
          <w:szCs w:val="24"/>
        </w:rPr>
        <w:t>、报告期内关联交易情况</w:t>
      </w:r>
    </w:p>
    <w:p>
      <w:pPr>
        <w:pStyle w:val="2"/>
        <w:rPr>
          <w:rFonts w:hint="eastAsia" w:ascii="宋体" w:hAnsi="宋体" w:cs="宋体"/>
          <w:sz w:val="24"/>
          <w:szCs w:val="24"/>
        </w:rPr>
      </w:pPr>
      <w:r>
        <w:rPr>
          <w:rFonts w:hint="eastAsia" w:ascii="宋体" w:hAnsi="宋体" w:cs="宋体"/>
          <w:sz w:val="24"/>
          <w:szCs w:val="24"/>
        </w:rPr>
        <w:t>（一）理财产品在报告期内投资关联方发行的证券的情况</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无</w:t>
      </w:r>
    </w:p>
    <w:p>
      <w:pPr>
        <w:pStyle w:val="2"/>
        <w:rPr>
          <w:rFonts w:hint="default" w:ascii="宋体" w:hAnsi="宋体" w:eastAsia="宋体" w:cs="宋体"/>
          <w:sz w:val="24"/>
          <w:szCs w:val="24"/>
          <w:lang w:val="en-US" w:eastAsia="zh-CN"/>
        </w:rPr>
      </w:pPr>
    </w:p>
    <w:p>
      <w:pPr>
        <w:pStyle w:val="2"/>
        <w:rPr>
          <w:rFonts w:hint="eastAsia" w:ascii="宋体" w:hAnsi="宋体" w:cs="宋体"/>
          <w:sz w:val="24"/>
          <w:szCs w:val="24"/>
        </w:rPr>
      </w:pPr>
      <w:r>
        <w:rPr>
          <w:rFonts w:hint="eastAsia" w:ascii="宋体" w:hAnsi="宋体" w:cs="宋体"/>
          <w:sz w:val="24"/>
          <w:szCs w:val="24"/>
        </w:rPr>
        <w:t>（二）理财产品在报告期内投资关联方承销的证券的情况</w:t>
      </w:r>
    </w:p>
    <w:tbl>
      <w:tblPr>
        <w:tblStyle w:val="15"/>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755"/>
        <w:gridCol w:w="26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24"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755"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268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24"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default" w:ascii="Calibri" w:hAnsi="Calibri" w:eastAsia="宋体" w:cs="Calibri"/>
                <w:i w:val="0"/>
                <w:iCs w:val="0"/>
                <w:color w:val="000000"/>
                <w:kern w:val="0"/>
                <w:sz w:val="22"/>
                <w:szCs w:val="22"/>
                <w:u w:val="none"/>
                <w:lang w:val="en-US" w:eastAsia="zh-CN" w:bidi="ar"/>
              </w:rPr>
              <w:t>恒丰银行股份有限公司</w:t>
            </w:r>
          </w:p>
        </w:tc>
        <w:tc>
          <w:tcPr>
            <w:tcW w:w="1755"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default" w:ascii="Calibri" w:hAnsi="Calibri" w:eastAsia="宋体" w:cs="Calibri"/>
                <w:i w:val="0"/>
                <w:iCs w:val="0"/>
                <w:color w:val="000000"/>
                <w:kern w:val="0"/>
                <w:sz w:val="22"/>
                <w:szCs w:val="22"/>
                <w:u w:val="none"/>
                <w:lang w:val="en-US" w:eastAsia="zh-CN" w:bidi="ar"/>
              </w:rPr>
              <w:t>102580564.IB</w:t>
            </w:r>
          </w:p>
        </w:tc>
        <w:tc>
          <w:tcPr>
            <w:tcW w:w="2685"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default" w:ascii="Calibri" w:hAnsi="Calibri" w:eastAsia="宋体" w:cs="Calibri"/>
                <w:i w:val="0"/>
                <w:iCs w:val="0"/>
                <w:color w:val="000000"/>
                <w:kern w:val="0"/>
                <w:sz w:val="22"/>
                <w:szCs w:val="22"/>
                <w:u w:val="none"/>
                <w:lang w:val="en-US" w:eastAsia="zh-CN" w:bidi="ar"/>
              </w:rPr>
              <w:t>25湘高速MTN002</w:t>
            </w:r>
          </w:p>
        </w:tc>
        <w:tc>
          <w:tcPr>
            <w:tcW w:w="1995" w:type="dxa"/>
            <w:noWrap w:val="0"/>
            <w:vAlign w:val="center"/>
          </w:tcPr>
          <w:p>
            <w:pPr>
              <w:keepNext w:val="0"/>
              <w:keepLines w:val="0"/>
              <w:widowControl/>
              <w:suppressLineNumbers w:val="0"/>
              <w:jc w:val="center"/>
              <w:textAlignment w:val="center"/>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 xml:space="preserve"> 50,000,000.00 </w:t>
            </w:r>
          </w:p>
        </w:tc>
      </w:tr>
    </w:tbl>
    <w:p>
      <w:pPr>
        <w:pStyle w:val="2"/>
        <w:rPr>
          <w:rFonts w:hint="eastAsia" w:ascii="宋体" w:hAnsi="宋体" w:cs="宋体"/>
          <w:sz w:val="24"/>
          <w:szCs w:val="24"/>
        </w:rPr>
      </w:pPr>
    </w:p>
    <w:p>
      <w:pPr>
        <w:pStyle w:val="2"/>
      </w:pPr>
      <w:r>
        <w:rPr>
          <w:rFonts w:hint="eastAsia" w:ascii="宋体" w:hAnsi="宋体" w:cs="宋体"/>
          <w:sz w:val="24"/>
          <w:szCs w:val="24"/>
        </w:rPr>
        <w:t>（三）理财产品在报告期内其他相关关联交易</w:t>
      </w:r>
      <w:r>
        <w:rPr>
          <w:rFonts w:ascii="宋体" w:hAnsi="宋体" w:cs="宋体"/>
          <w:sz w:val="24"/>
          <w:szCs w:val="24"/>
        </w:rPr>
        <w:t xml:space="preserve"> </w:t>
      </w:r>
    </w:p>
    <w:tbl>
      <w:tblPr>
        <w:tblStyle w:val="15"/>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643"/>
        <w:gridCol w:w="1643"/>
        <w:gridCol w:w="164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29"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643"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资产代码</w:t>
            </w:r>
          </w:p>
        </w:tc>
        <w:tc>
          <w:tcPr>
            <w:tcW w:w="1643"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资产名称</w:t>
            </w:r>
          </w:p>
        </w:tc>
        <w:tc>
          <w:tcPr>
            <w:tcW w:w="1643"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交易类型</w:t>
            </w:r>
          </w:p>
        </w:tc>
        <w:tc>
          <w:tcPr>
            <w:tcW w:w="1859"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829" w:type="dxa"/>
            <w:noWrap w:val="0"/>
            <w:vAlign w:val="center"/>
          </w:tcPr>
          <w:p>
            <w:pPr>
              <w:keepNext w:val="0"/>
              <w:keepLines w:val="0"/>
              <w:widowControl/>
              <w:suppressLineNumbers w:val="0"/>
              <w:jc w:val="center"/>
              <w:textAlignment w:val="bottom"/>
              <w:rPr>
                <w:rFonts w:hint="eastAsia" w:ascii="宋体" w:hAnsi="宋体" w:cs="宋体"/>
                <w:bCs/>
                <w:szCs w:val="21"/>
              </w:rPr>
            </w:pPr>
            <w:r>
              <w:rPr>
                <w:rFonts w:hint="default" w:ascii="Calibri" w:hAnsi="Calibri" w:eastAsia="宋体" w:cs="Calibri"/>
                <w:i w:val="0"/>
                <w:iCs w:val="0"/>
                <w:color w:val="000000"/>
                <w:kern w:val="0"/>
                <w:sz w:val="22"/>
                <w:szCs w:val="22"/>
                <w:u w:val="none"/>
                <w:lang w:val="en-US" w:eastAsia="zh-CN" w:bidi="ar"/>
              </w:rPr>
              <w:t>富国基金管理有限公司</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银行间质押式回购</w:t>
            </w:r>
          </w:p>
        </w:tc>
        <w:tc>
          <w:tcPr>
            <w:tcW w:w="1859"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200,121,643.84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29" w:type="dxa"/>
            <w:noWrap w:val="0"/>
            <w:vAlign w:val="center"/>
          </w:tcPr>
          <w:p>
            <w:pPr>
              <w:keepNext w:val="0"/>
              <w:keepLines w:val="0"/>
              <w:widowControl/>
              <w:suppressLineNumbers w:val="0"/>
              <w:jc w:val="center"/>
              <w:textAlignment w:val="bottom"/>
              <w:rPr>
                <w:rFonts w:hint="eastAsia" w:ascii="宋体" w:hAnsi="宋体" w:cs="宋体"/>
                <w:bCs/>
                <w:szCs w:val="21"/>
              </w:rPr>
            </w:pPr>
            <w:r>
              <w:rPr>
                <w:rFonts w:hint="default" w:ascii="Calibri" w:hAnsi="Calibri" w:eastAsia="宋体" w:cs="Calibri"/>
                <w:i w:val="0"/>
                <w:iCs w:val="0"/>
                <w:color w:val="000000"/>
                <w:kern w:val="0"/>
                <w:sz w:val="22"/>
                <w:szCs w:val="22"/>
                <w:u w:val="none"/>
                <w:lang w:val="en-US" w:eastAsia="zh-CN" w:bidi="ar"/>
              </w:rPr>
              <w:t>富国基金管理有限公司</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银行间质押式回购</w:t>
            </w:r>
          </w:p>
        </w:tc>
        <w:tc>
          <w:tcPr>
            <w:tcW w:w="1859"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150,068,178.08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29" w:type="dxa"/>
            <w:noWrap w:val="0"/>
            <w:vAlign w:val="center"/>
          </w:tcPr>
          <w:p>
            <w:pPr>
              <w:keepNext w:val="0"/>
              <w:keepLines w:val="0"/>
              <w:widowControl/>
              <w:suppressLineNumbers w:val="0"/>
              <w:jc w:val="center"/>
              <w:textAlignment w:val="bottom"/>
              <w:rPr>
                <w:rFonts w:hint="eastAsia" w:ascii="宋体" w:hAnsi="宋体" w:cs="宋体"/>
                <w:bCs/>
                <w:szCs w:val="21"/>
              </w:rPr>
            </w:pPr>
            <w:r>
              <w:rPr>
                <w:rFonts w:hint="default" w:ascii="Calibri" w:hAnsi="Calibri" w:eastAsia="宋体" w:cs="Calibri"/>
                <w:i w:val="0"/>
                <w:iCs w:val="0"/>
                <w:color w:val="000000"/>
                <w:kern w:val="0"/>
                <w:sz w:val="22"/>
                <w:szCs w:val="22"/>
                <w:u w:val="none"/>
                <w:lang w:val="en-US" w:eastAsia="zh-CN" w:bidi="ar"/>
              </w:rPr>
              <w:t>富国基金管理有限公司</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银行间质押式回购</w:t>
            </w:r>
          </w:p>
        </w:tc>
        <w:tc>
          <w:tcPr>
            <w:tcW w:w="1859"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120,005,852.05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829" w:type="dxa"/>
            <w:noWrap w:val="0"/>
            <w:vAlign w:val="center"/>
          </w:tcPr>
          <w:p>
            <w:pPr>
              <w:keepNext w:val="0"/>
              <w:keepLines w:val="0"/>
              <w:widowControl/>
              <w:suppressLineNumbers w:val="0"/>
              <w:jc w:val="center"/>
              <w:textAlignment w:val="bottom"/>
              <w:rPr>
                <w:rFonts w:hint="eastAsia" w:ascii="宋体" w:hAnsi="宋体" w:cs="宋体"/>
                <w:bCs/>
                <w:szCs w:val="21"/>
              </w:rPr>
            </w:pPr>
            <w:r>
              <w:rPr>
                <w:rFonts w:hint="default" w:ascii="Calibri" w:hAnsi="Calibri" w:eastAsia="宋体" w:cs="Calibri"/>
                <w:i w:val="0"/>
                <w:iCs w:val="0"/>
                <w:color w:val="000000"/>
                <w:kern w:val="0"/>
                <w:sz w:val="22"/>
                <w:szCs w:val="22"/>
                <w:u w:val="none"/>
                <w:lang w:val="en-US" w:eastAsia="zh-CN" w:bidi="ar"/>
              </w:rPr>
              <w:t>富国基金管理有限公司</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银行间质押式回购</w:t>
            </w:r>
          </w:p>
        </w:tc>
        <w:tc>
          <w:tcPr>
            <w:tcW w:w="1859" w:type="dxa"/>
            <w:noWrap w:val="0"/>
            <w:vAlign w:val="center"/>
          </w:tcPr>
          <w:p>
            <w:pPr>
              <w:keepNext w:val="0"/>
              <w:keepLines w:val="0"/>
              <w:widowControl/>
              <w:suppressLineNumbers w:val="0"/>
              <w:jc w:val="center"/>
              <w:textAlignment w:val="center"/>
              <w:rPr>
                <w:rFonts w:hint="eastAsia" w:ascii="宋体" w:hAnsi="宋体" w:cs="宋体"/>
                <w:bCs/>
                <w:szCs w:val="21"/>
              </w:rPr>
            </w:pPr>
            <w:r>
              <w:rPr>
                <w:rFonts w:hint="eastAsia" w:ascii="宋体" w:hAnsi="宋体" w:eastAsia="宋体" w:cs="宋体"/>
                <w:i w:val="0"/>
                <w:iCs w:val="0"/>
                <w:color w:val="000000"/>
                <w:kern w:val="0"/>
                <w:sz w:val="22"/>
                <w:szCs w:val="22"/>
                <w:u w:val="none"/>
                <w:lang w:val="en-US" w:eastAsia="zh-CN" w:bidi="ar"/>
              </w:rPr>
              <w:t>130,006,339.73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29" w:type="dxa"/>
            <w:noWrap w:val="0"/>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富国基金管理有限公司</w:t>
            </w:r>
          </w:p>
        </w:tc>
        <w:tc>
          <w:tcPr>
            <w:tcW w:w="1643"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64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银行间质押式回购</w:t>
            </w:r>
          </w:p>
        </w:tc>
        <w:tc>
          <w:tcPr>
            <w:tcW w:w="18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200,065,972.60</w:t>
            </w:r>
          </w:p>
        </w:tc>
      </w:tr>
    </w:tbl>
    <w:p>
      <w:pPr>
        <w:ind w:firstLine="720"/>
        <w:rPr>
          <w:rFonts w:ascii="宋体" w:hAnsi="宋体" w:cs="宋体"/>
          <w:b/>
          <w:sz w:val="24"/>
          <w:szCs w:val="24"/>
        </w:rPr>
      </w:pPr>
    </w:p>
    <w:p>
      <w:pPr>
        <w:ind w:firstLine="72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eastAsia="zh-CN"/>
        </w:rPr>
        <w:t>八</w:t>
      </w:r>
      <w:r>
        <w:rPr>
          <w:rFonts w:hint="eastAsia" w:ascii="宋体" w:hAnsi="宋体" w:cs="宋体"/>
          <w:b/>
          <w:sz w:val="24"/>
          <w:szCs w:val="24"/>
        </w:rPr>
        <w:t>、投资账户信息</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52"/>
        <w:gridCol w:w="1856"/>
        <w:gridCol w:w="2453"/>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恒丰银行股份有限公司天天盈系列第1期理财产品</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37150101100100000019</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恒丰银行青岛分行</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eastAsia="zh-CN"/>
        </w:rPr>
        <w:t>九</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sz w:val="24"/>
          <w:szCs w:val="24"/>
        </w:rPr>
      </w:pPr>
    </w:p>
    <w:p>
      <w:pPr>
        <w:pStyle w:val="2"/>
      </w:pPr>
    </w:p>
    <w:p>
      <w:pPr>
        <w:rPr>
          <w:rFonts w:hint="eastAsia" w:ascii="宋体" w:hAnsi="宋体" w:cs="宋体"/>
          <w:b/>
          <w:bCs/>
          <w:sz w:val="24"/>
          <w:szCs w:val="24"/>
        </w:rPr>
      </w:pPr>
      <w:r>
        <w:rPr>
          <w:rFonts w:hint="eastAsia" w:ascii="宋体" w:hAnsi="宋体" w:cs="宋体"/>
          <w:b/>
          <w:bCs/>
          <w:sz w:val="24"/>
          <w:szCs w:val="24"/>
        </w:rPr>
        <w:t>十、投资组合的流动性分析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下半年，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利率债、同业存单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kern w:val="2"/>
          <w:sz w:val="24"/>
          <w:szCs w:val="24"/>
          <w:lang w:val="en-US" w:eastAsia="zh-CN" w:bidi="ar-SA"/>
        </w:rPr>
        <w:t>恒丰理财有限责任公司</w:t>
      </w:r>
    </w:p>
    <w:p>
      <w:pPr>
        <w:ind w:firstLine="5280"/>
        <w:rPr>
          <w:rFonts w:ascii="宋体" w:hAnsi="宋体" w:cs="宋体"/>
          <w:sz w:val="24"/>
          <w:szCs w:val="24"/>
        </w:rPr>
      </w:pPr>
      <w:r>
        <w:rPr>
          <w:rFonts w:hint="eastAsia" w:ascii="宋体" w:hAnsi="宋体" w:cs="宋体"/>
          <w:sz w:val="24"/>
          <w:szCs w:val="24"/>
          <w:lang w:eastAsia="zh-CN"/>
        </w:rPr>
        <w:t>2025年</w:t>
      </w:r>
      <w:r>
        <w:rPr>
          <w:rFonts w:hint="eastAsia" w:ascii="宋体" w:hAnsi="宋体" w:cs="宋体"/>
          <w:sz w:val="24"/>
          <w:szCs w:val="24"/>
          <w:lang w:eastAsia="zh-CN"/>
        </w:rPr>
        <w:t>0</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0</w:t>
      </w:r>
      <w:r>
        <w:rPr>
          <w:rFonts w:hint="eastAsia" w:ascii="宋体" w:hAnsi="宋体" w:cs="宋体"/>
          <w:sz w:val="24"/>
          <w:szCs w:val="24"/>
          <w:lang w:eastAsia="zh-CN"/>
        </w:rPr>
        <w:t>8日</w:t>
      </w:r>
      <w:bookmarkStart w:id="0" w:name="_GoBack"/>
      <w:bookmarkEnd w:id="0"/>
    </w:p>
    <w:p>
      <w:pPr>
        <w:ind w:firstLine="5280"/>
        <w:rPr>
          <w:rFonts w:ascii="宋体" w:hAnsi="宋体" w:cs="宋体"/>
          <w:sz w:val="24"/>
          <w:szCs w:val="24"/>
        </w:rPr>
      </w:pPr>
    </w:p>
    <w:p>
      <w:pPr>
        <w:rPr>
          <w:rFonts w:ascii="Calibri" w:hAnsi="Calibri" w:eastAsia="宋体" w:cs="Times New Roman"/>
          <w:kern w:val="2"/>
          <w:sz w:val="21"/>
          <w:szCs w:val="22"/>
          <w:lang w:val="en-US" w:eastAsia="zh-CN" w:bidi="ar-SA"/>
        </w:rPr>
      </w:pPr>
    </w:p>
    <w:p>
      <w:pPr>
        <w:rPr>
          <w:rFonts w:hint="eastAsia" w:cs="宋体"/>
          <w:sz w:val="24"/>
        </w:rPr>
      </w:pPr>
      <w:r>
        <w:rPr>
          <w:rFonts w:hint="eastAsia" w:cs="宋体"/>
          <w:sz w:val="24"/>
        </w:rPr>
        <w:br w:type="page"/>
      </w:r>
    </w:p>
    <w:p>
      <w:pPr>
        <w:pStyle w:val="26"/>
        <w:numPr>
          <w:ilvl w:val="0"/>
          <w:numId w:val="0"/>
        </w:numPr>
        <w:rPr>
          <w:rFonts w:cs="宋体"/>
          <w:sz w:val="24"/>
        </w:rPr>
      </w:pPr>
      <w:r>
        <w:rPr>
          <w:rFonts w:hint="eastAsia" w:cs="宋体"/>
          <w:sz w:val="24"/>
        </w:rPr>
        <w:t>托管人报告</w:t>
      </w:r>
    </w:p>
    <w:p>
      <w:pPr>
        <w:pStyle w:val="25"/>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24"/>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5"/>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24"/>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5"/>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8"/>
        <w:rPr>
          <w:rFonts w:ascii="宋体" w:hAnsi="宋体" w:cs="宋体"/>
          <w:b/>
        </w:rPr>
      </w:pPr>
    </w:p>
    <w:p>
      <w:pPr>
        <w:pStyle w:val="27"/>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7"/>
        <w:ind w:left="450" w:firstLine="0"/>
        <w:rPr>
          <w:rFonts w:ascii="宋体" w:hAnsi="宋体" w:cs="宋体"/>
          <w:sz w:val="24"/>
          <w:szCs w:val="24"/>
        </w:rPr>
      </w:pPr>
    </w:p>
    <w:p>
      <w:pPr>
        <w:pStyle w:val="28"/>
        <w:rPr>
          <w:rFonts w:ascii="宋体" w:hAnsi="宋体" w:cs="宋体"/>
          <w:b/>
        </w:rPr>
      </w:pPr>
      <w:r>
        <w:rPr>
          <w:rFonts w:hint="eastAsia" w:ascii="宋体" w:hAnsi="宋体" w:cs="宋体"/>
          <w:b/>
        </w:rPr>
        <w:t>免责声明</w:t>
      </w:r>
    </w:p>
    <w:p>
      <w:pPr>
        <w:pStyle w:val="28"/>
        <w:rPr>
          <w:rFonts w:ascii="宋体" w:hAnsi="宋体" w:cs="宋体"/>
        </w:rPr>
      </w:pPr>
    </w:p>
    <w:p>
      <w:pPr>
        <w:pStyle w:val="28"/>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本报告内容仅供报告阅读者参考，一切商业决策均将由报告阅读者综合各方信息后自行作出，对于本报告所提供的信息导致的任何直接或间接的后果，管理人恒丰理财有限责任公司不承担任何责任。</w:t>
      </w:r>
    </w:p>
    <w:p>
      <w:pPr>
        <w:pStyle w:val="28"/>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恒丰理财有限责任公司，且不得对本报告进行有悖原意的引用、删节和修改。</w:t>
      </w:r>
    </w:p>
    <w:p>
      <w:pPr>
        <w:spacing w:line="360" w:lineRule="auto"/>
        <w:ind w:firstLine="480"/>
        <w:rPr>
          <w:szCs w:val="21"/>
        </w:rPr>
      </w:pPr>
      <w:r>
        <w:rPr>
          <w:rFonts w:hint="eastAsia" w:ascii="宋体" w:hAnsi="宋体" w:cs="宋体"/>
          <w:sz w:val="24"/>
          <w:szCs w:val="24"/>
        </w:rPr>
        <w:t>管理人恒丰理财有限责任公司对于本免责声明条款具有修改和最终解释权。</w:t>
      </w:r>
    </w:p>
    <w:p>
      <w:pPr>
        <w:pStyle w:val="27"/>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6"/>
      <w:suff w:val="space"/>
      <w:lvlText w:val="§%1"/>
      <w:lvlJc w:val="center"/>
      <w:pPr>
        <w:ind w:left="425" w:hanging="425"/>
      </w:pPr>
      <w:rPr>
        <w:rFonts w:hint="eastAsia"/>
      </w:rPr>
    </w:lvl>
    <w:lvl w:ilvl="1" w:tentative="0">
      <w:start w:val="1"/>
      <w:numFmt w:val="decimal"/>
      <w:pStyle w:val="25"/>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020374"/>
    <w:rsid w:val="133347D3"/>
    <w:rsid w:val="1CCD2CA9"/>
    <w:rsid w:val="25992B0F"/>
    <w:rsid w:val="309354D4"/>
    <w:rsid w:val="3A88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21"/>
    <w:unhideWhenUsed/>
    <w:qFormat/>
    <w:uiPriority w:val="99"/>
    <w:rPr>
      <w:sz w:val="18"/>
      <w:szCs w:val="18"/>
    </w:rPr>
  </w:style>
  <w:style w:type="paragraph" w:styleId="3">
    <w:name w:val="endnote text"/>
    <w:qFormat/>
    <w:uiPriority w:val="0"/>
    <w:pPr>
      <w:widowControl w:val="0"/>
      <w:snapToGrid w:val="0"/>
    </w:pPr>
    <w:rPr>
      <w:rFonts w:ascii="Times New Roman" w:hAnsi="Times New Roman" w:eastAsia="宋体" w:cs="Times New Roman"/>
      <w:kern w:val="2"/>
      <w:sz w:val="21"/>
      <w:lang w:val="en-US" w:eastAsia="zh-CN" w:bidi="ar-SA"/>
    </w:rPr>
  </w:style>
  <w:style w:type="paragraph" w:styleId="6">
    <w:name w:val="annotation text"/>
    <w:basedOn w:val="1"/>
    <w:link w:val="20"/>
    <w:unhideWhenUsed/>
    <w:qFormat/>
    <w:uiPriority w:val="99"/>
    <w:pPr>
      <w:jc w:val="left"/>
    </w:pPr>
  </w:style>
  <w:style w:type="paragraph" w:styleId="7">
    <w:name w:val="Body Text"/>
    <w:basedOn w:val="1"/>
    <w:next w:val="8"/>
    <w:qFormat/>
    <w:uiPriority w:val="0"/>
    <w:rPr>
      <w:rFonts w:ascii="宋体" w:hAnsi="Calibri"/>
      <w:sz w:val="24"/>
    </w:rPr>
  </w:style>
  <w:style w:type="paragraph" w:styleId="8">
    <w:name w:val="Body Text First Indent 2"/>
    <w:basedOn w:val="9"/>
    <w:next w:val="1"/>
    <w:unhideWhenUsed/>
    <w:qFormat/>
    <w:uiPriority w:val="99"/>
    <w:pPr>
      <w:ind w:firstLine="880"/>
    </w:pPr>
    <w:rPr>
      <w:rFonts w:ascii="Calibri" w:hAnsi="Calibri"/>
    </w:rPr>
  </w:style>
  <w:style w:type="paragraph" w:styleId="9">
    <w:name w:val="Body Text Indent"/>
    <w:basedOn w:val="1"/>
    <w:next w:val="10"/>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sz w:val="24"/>
    </w:rPr>
  </w:style>
  <w:style w:type="paragraph" w:styleId="14">
    <w:name w:val="annotation subject"/>
    <w:basedOn w:val="6"/>
    <w:next w:val="6"/>
    <w:link w:val="19"/>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unhideWhenUsed/>
    <w:qFormat/>
    <w:uiPriority w:val="99"/>
    <w:rPr>
      <w:sz w:val="21"/>
      <w:szCs w:val="21"/>
    </w:rPr>
  </w:style>
  <w:style w:type="character" w:customStyle="1" w:styleId="19">
    <w:name w:val="批注主题 Char"/>
    <w:basedOn w:val="20"/>
    <w:link w:val="14"/>
    <w:semiHidden/>
    <w:qFormat/>
    <w:uiPriority w:val="99"/>
    <w:rPr>
      <w:rFonts w:ascii="Calibri" w:hAnsi="Calibri" w:eastAsia="宋体" w:cs="Times New Roman"/>
      <w:b/>
      <w:bCs/>
      <w:kern w:val="2"/>
      <w:sz w:val="21"/>
      <w:szCs w:val="22"/>
    </w:rPr>
  </w:style>
  <w:style w:type="character" w:customStyle="1" w:styleId="20">
    <w:name w:val="批注文字 Char"/>
    <w:basedOn w:val="17"/>
    <w:link w:val="6"/>
    <w:semiHidden/>
    <w:qFormat/>
    <w:uiPriority w:val="99"/>
    <w:rPr>
      <w:rFonts w:ascii="Calibri" w:hAnsi="Calibri" w:eastAsia="宋体" w:cs="Times New Roman"/>
      <w:kern w:val="2"/>
      <w:sz w:val="21"/>
      <w:szCs w:val="22"/>
    </w:rPr>
  </w:style>
  <w:style w:type="character" w:customStyle="1" w:styleId="21">
    <w:name w:val="批注框文本 Char"/>
    <w:basedOn w:val="17"/>
    <w:link w:val="2"/>
    <w:semiHidden/>
    <w:qFormat/>
    <w:uiPriority w:val="99"/>
    <w:rPr>
      <w:rFonts w:ascii="Calibri" w:hAnsi="Calibri" w:eastAsia="宋体" w:cs="Times New Roman"/>
      <w:kern w:val="2"/>
      <w:sz w:val="18"/>
      <w:szCs w:val="18"/>
    </w:rPr>
  </w:style>
  <w:style w:type="character" w:customStyle="1" w:styleId="22">
    <w:name w:val="页脚 Char"/>
    <w:basedOn w:val="17"/>
    <w:link w:val="11"/>
    <w:qFormat/>
    <w:uiPriority w:val="99"/>
    <w:rPr>
      <w:rFonts w:ascii="Calibri" w:hAnsi="Calibri" w:eastAsia="宋体" w:cs="Times New Roman"/>
      <w:kern w:val="2"/>
      <w:sz w:val="18"/>
      <w:szCs w:val="18"/>
    </w:rPr>
  </w:style>
  <w:style w:type="character" w:customStyle="1" w:styleId="23">
    <w:name w:val="页眉 Char"/>
    <w:basedOn w:val="17"/>
    <w:link w:val="12"/>
    <w:qFormat/>
    <w:uiPriority w:val="99"/>
    <w:rPr>
      <w:rFonts w:ascii="Calibri" w:hAnsi="Calibri" w:eastAsia="宋体" w:cs="Times New Roman"/>
      <w:kern w:val="2"/>
      <w:sz w:val="18"/>
      <w:szCs w:val="18"/>
    </w:rPr>
  </w:style>
  <w:style w:type="paragraph" w:customStyle="1" w:styleId="24">
    <w:name w:val="模板-正文"/>
    <w:basedOn w:val="13"/>
    <w:qFormat/>
    <w:uiPriority w:val="0"/>
    <w:pPr>
      <w:snapToGrid w:val="0"/>
      <w:spacing w:line="360" w:lineRule="auto"/>
      <w:ind w:firstLine="200"/>
    </w:pPr>
    <w:rPr>
      <w:color w:val="222222"/>
      <w:sz w:val="21"/>
      <w:szCs w:val="21"/>
    </w:rPr>
  </w:style>
  <w:style w:type="paragraph" w:customStyle="1" w:styleId="25">
    <w:name w:val="模板-标题 2"/>
    <w:basedOn w:val="5"/>
    <w:qFormat/>
    <w:uiPriority w:val="0"/>
    <w:pPr>
      <w:numPr>
        <w:ilvl w:val="1"/>
        <w:numId w:val="1"/>
      </w:numPr>
      <w:spacing w:beforeAutospacing="0"/>
      <w:ind w:left="0" w:firstLine="0"/>
      <w:jc w:val="both"/>
    </w:pPr>
    <w:rPr>
      <w:color w:val="222222"/>
      <w:sz w:val="24"/>
    </w:rPr>
  </w:style>
  <w:style w:type="paragraph" w:customStyle="1" w:styleId="26">
    <w:name w:val="模板-标题 1"/>
    <w:basedOn w:val="4"/>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7">
    <w:name w:val="List Paragraph"/>
    <w:basedOn w:val="1"/>
    <w:qFormat/>
    <w:uiPriority w:val="34"/>
    <w:pPr>
      <w:ind w:firstLine="420"/>
    </w:pPr>
  </w:style>
  <w:style w:type="paragraph" w:customStyle="1" w:styleId="28">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9">
    <w:name w:val="Placeholder Text"/>
    <w:basedOn w:val="17"/>
    <w:unhideWhenUsed/>
    <w:qFormat/>
    <w:uiPriority w:val="99"/>
    <w:rPr>
      <w:color w:val="808080"/>
    </w:rPr>
  </w:style>
  <w:style w:type="paragraph" w:customStyle="1" w:styleId="3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2024-06-11T10:55:00Z</dcterms:created>
  <dc:creator>Administrator</dc:creator>
  <cp:lastModifiedBy>Administrator</cp:lastModifiedBy>
  <cp:lastPrinted>2113-01-01T00:00:00Z</cp:lastPrinted>
  <dcterms:modified xsi:type="dcterms:W3CDTF">2025-08-07T08:31:37Z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3B51ED013A8542DF937A3A907BC65225</vt:lpwstr>
  </property>
  <property fmtid="{D5CDD505-2E9C-101B-9397-08002B2CF9AE}" pid="3" name="KSOProductBuildVer">
    <vt:lpwstr>2052-11.8.2.12094</vt:lpwstr>
  </property>
</Properties>
</file>