
<file path=[Content_Types].xml><?xml version="1.0" encoding="utf-8"?>
<Types xmlns="http://schemas.openxmlformats.org/package/2006/content-types">
  <Default Extension="bin" ContentType="application/vnd.openxmlformats-officedocument.oleObject"/>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宋体" w:eastAsia="方正小标宋简体"/>
          <w:sz w:val="44"/>
          <w:szCs w:val="44"/>
          <w:highlight w:val="none"/>
        </w:rPr>
      </w:pPr>
      <w:r>
        <w:rPr>
          <w:rFonts w:hint="eastAsia" w:ascii="方正小标宋简体" w:hAnsi="宋体" w:eastAsia="方正小标宋简体"/>
          <w:sz w:val="44"/>
          <w:szCs w:val="44"/>
          <w:highlight w:val="none"/>
        </w:rPr>
        <w:t>【恒丰理财恒仁新恒梦钱包】</w:t>
      </w:r>
    </w:p>
    <w:p>
      <w:pPr>
        <w:spacing w:line="560" w:lineRule="exact"/>
        <w:jc w:val="center"/>
        <w:rPr>
          <w:rFonts w:ascii="方正小标宋简体" w:hAnsi="宋体" w:eastAsia="方正小标宋简体"/>
          <w:sz w:val="44"/>
          <w:szCs w:val="44"/>
          <w:highlight w:val="none"/>
        </w:rPr>
      </w:pPr>
      <w:r>
        <w:rPr>
          <w:rFonts w:hint="eastAsia" w:ascii="方正小标宋简体" w:hAnsi="宋体" w:eastAsia="方正小标宋简体"/>
          <w:sz w:val="44"/>
          <w:szCs w:val="44"/>
          <w:highlight w:val="none"/>
        </w:rPr>
        <w:t>理财产品说明书</w:t>
      </w:r>
    </w:p>
    <w:tbl>
      <w:tblPr>
        <w:tblStyle w:val="8"/>
        <w:tblW w:w="9073"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
      <w:tblGrid>
        <w:gridCol w:w="907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9755" w:hRule="atLeast"/>
          <w:jc w:val="center"/>
        </w:trPr>
        <w:tc>
          <w:tcPr>
            <w:tcW w:w="9073"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460" w:lineRule="atLeast"/>
              <w:rPr>
                <w:rFonts w:eastAsia="黑体"/>
                <w:b/>
                <w:bCs/>
                <w:kern w:val="0"/>
                <w:sz w:val="24"/>
                <w:highlight w:val="none"/>
              </w:rPr>
            </w:pPr>
            <w:r>
              <w:rPr>
                <w:rFonts w:eastAsia="黑体"/>
                <w:b/>
                <w:bCs/>
                <w:kern w:val="0"/>
                <w:sz w:val="24"/>
                <w:highlight w:val="none"/>
              </w:rPr>
              <w:t>重要须知：</w:t>
            </w:r>
          </w:p>
          <w:p>
            <w:pPr>
              <w:pStyle w:val="12"/>
              <w:spacing w:line="380" w:lineRule="exact"/>
              <w:ind w:firstLine="480"/>
              <w:rPr>
                <w:rFonts w:ascii="Times New Roman" w:hAnsi="Times New Roman" w:eastAsia="黑体"/>
                <w:kern w:val="0"/>
                <w:sz w:val="24"/>
                <w:highlight w:val="none"/>
                <w:lang w:bidi="ar"/>
              </w:rPr>
            </w:pPr>
            <w:r>
              <w:rPr>
                <w:rFonts w:ascii="Times New Roman" w:hAnsi="Times New Roman" w:eastAsia="微软雅黑"/>
                <w:kern w:val="0"/>
                <w:sz w:val="24"/>
                <w:highlight w:val="none"/>
                <w:lang w:bidi="ar"/>
              </w:rPr>
              <w:t>•</w:t>
            </w:r>
            <w:r>
              <w:rPr>
                <w:rFonts w:ascii="Times New Roman" w:hAnsi="Times New Roman" w:eastAsia="黑体"/>
                <w:kern w:val="0"/>
                <w:sz w:val="24"/>
                <w:highlight w:val="none"/>
                <w:lang w:bidi="ar"/>
              </w:rPr>
              <w:t>本理财产品说明书与风险揭示书、</w:t>
            </w:r>
            <w:r>
              <w:rPr>
                <w:rFonts w:hint="eastAsia" w:ascii="Times New Roman" w:hAnsi="Times New Roman" w:eastAsia="黑体"/>
                <w:kern w:val="0"/>
                <w:sz w:val="24"/>
                <w:highlight w:val="none"/>
                <w:lang w:bidi="ar"/>
              </w:rPr>
              <w:t>代理</w:t>
            </w:r>
            <w:r>
              <w:rPr>
                <w:rFonts w:ascii="Times New Roman" w:hAnsi="Times New Roman" w:eastAsia="黑体"/>
                <w:kern w:val="0"/>
                <w:sz w:val="24"/>
                <w:highlight w:val="none"/>
                <w:lang w:bidi="ar"/>
              </w:rPr>
              <w:t>销售协议书、</w:t>
            </w:r>
            <w:r>
              <w:rPr>
                <w:rFonts w:hint="eastAsia" w:ascii="Times New Roman" w:hAnsi="Times New Roman" w:eastAsia="黑体"/>
                <w:kern w:val="0"/>
                <w:sz w:val="24"/>
                <w:highlight w:val="none"/>
                <w:lang w:bidi="ar"/>
              </w:rPr>
              <w:t>理财产品</w:t>
            </w:r>
            <w:r>
              <w:rPr>
                <w:rFonts w:ascii="Times New Roman" w:hAnsi="Times New Roman" w:eastAsia="黑体"/>
                <w:kern w:val="0"/>
                <w:sz w:val="24"/>
                <w:highlight w:val="none"/>
                <w:lang w:bidi="ar"/>
              </w:rPr>
              <w:t>投资协议书、投资者权益须知</w:t>
            </w:r>
            <w:r>
              <w:rPr>
                <w:rFonts w:hint="eastAsia" w:ascii="Times New Roman" w:hAnsi="Times New Roman" w:eastAsia="黑体"/>
                <w:kern w:val="0"/>
                <w:sz w:val="24"/>
                <w:highlight w:val="none"/>
                <w:lang w:bidi="ar"/>
              </w:rPr>
              <w:t>等</w:t>
            </w:r>
            <w:r>
              <w:rPr>
                <w:rFonts w:ascii="Times New Roman" w:hAnsi="Times New Roman" w:eastAsia="黑体"/>
                <w:kern w:val="0"/>
                <w:sz w:val="24"/>
                <w:highlight w:val="none"/>
                <w:lang w:bidi="ar"/>
              </w:rPr>
              <w:t>共同组成</w:t>
            </w:r>
            <w:r>
              <w:rPr>
                <w:rFonts w:hint="eastAsia" w:ascii="黑体" w:hAnsi="黑体" w:eastAsia="黑体"/>
                <w:sz w:val="24"/>
                <w:szCs w:val="24"/>
                <w:highlight w:val="none"/>
              </w:rPr>
              <w:t>完整的不可分割</w:t>
            </w:r>
            <w:r>
              <w:rPr>
                <w:rFonts w:hint="eastAsia" w:ascii="Times New Roman" w:hAnsi="Times New Roman" w:eastAsia="黑体"/>
                <w:sz w:val="24"/>
                <w:highlight w:val="none"/>
                <w:lang w:bidi="ar"/>
              </w:rPr>
              <w:t>的理财产品销售文件</w:t>
            </w:r>
            <w:r>
              <w:rPr>
                <w:rFonts w:ascii="Times New Roman" w:hAnsi="Times New Roman" w:eastAsia="黑体"/>
                <w:kern w:val="0"/>
                <w:sz w:val="24"/>
                <w:highlight w:val="none"/>
                <w:lang w:bidi="ar"/>
              </w:rPr>
              <w:t>。</w:t>
            </w:r>
          </w:p>
          <w:p>
            <w:pPr>
              <w:pStyle w:val="12"/>
              <w:spacing w:line="380" w:lineRule="exact"/>
              <w:ind w:firstLine="480"/>
              <w:rPr>
                <w:rFonts w:ascii="Times New Roman" w:hAnsi="Times New Roman" w:eastAsia="黑体"/>
                <w:b/>
                <w:bCs/>
                <w:kern w:val="0"/>
                <w:sz w:val="24"/>
                <w:highlight w:val="none"/>
                <w:lang w:bidi="ar"/>
              </w:rPr>
            </w:pPr>
            <w:r>
              <w:rPr>
                <w:rFonts w:ascii="Times New Roman" w:hAnsi="Times New Roman" w:eastAsia="微软雅黑"/>
                <w:b/>
                <w:bCs/>
                <w:kern w:val="0"/>
                <w:sz w:val="24"/>
                <w:highlight w:val="none"/>
                <w:lang w:bidi="ar"/>
              </w:rPr>
              <w:t>•</w:t>
            </w:r>
            <w:r>
              <w:rPr>
                <w:rFonts w:ascii="Times New Roman" w:hAnsi="Times New Roman" w:eastAsia="黑体"/>
                <w:b/>
                <w:bCs/>
                <w:kern w:val="0"/>
                <w:sz w:val="24"/>
                <w:highlight w:val="none"/>
                <w:lang w:bidi="ar"/>
              </w:rPr>
              <w:t>理财非存款、产品有风险、投资须谨慎。</w:t>
            </w:r>
          </w:p>
          <w:p>
            <w:pPr>
              <w:pStyle w:val="12"/>
              <w:spacing w:line="380" w:lineRule="exact"/>
              <w:ind w:firstLine="480"/>
              <w:rPr>
                <w:rFonts w:ascii="Times New Roman" w:hAnsi="Times New Roman" w:eastAsia="黑体"/>
                <w:b/>
                <w:bCs/>
                <w:kern w:val="0"/>
                <w:sz w:val="24"/>
                <w:highlight w:val="none"/>
                <w:lang w:bidi="ar"/>
              </w:rPr>
            </w:pPr>
            <w:r>
              <w:rPr>
                <w:rFonts w:ascii="Times New Roman" w:hAnsi="Times New Roman" w:eastAsia="微软雅黑"/>
                <w:b/>
                <w:bCs/>
                <w:kern w:val="0"/>
                <w:sz w:val="24"/>
                <w:highlight w:val="none"/>
                <w:lang w:bidi="ar"/>
              </w:rPr>
              <w:t>•</w:t>
            </w:r>
            <w:r>
              <w:rPr>
                <w:rFonts w:ascii="Times New Roman" w:hAnsi="Times New Roman" w:eastAsia="黑体"/>
                <w:b/>
                <w:bCs/>
                <w:kern w:val="0"/>
                <w:sz w:val="24"/>
                <w:highlight w:val="none"/>
                <w:lang w:bidi="ar"/>
              </w:rPr>
              <w:t>理财产品过往业绩不代表其未来表现，不等于理财产品实际收益，投资</w:t>
            </w:r>
            <w:r>
              <w:rPr>
                <w:rFonts w:hint="eastAsia" w:ascii="Times New Roman" w:hAnsi="Times New Roman" w:eastAsia="黑体"/>
                <w:b/>
                <w:bCs/>
                <w:kern w:val="0"/>
                <w:sz w:val="24"/>
                <w:highlight w:val="none"/>
                <w:lang w:bidi="ar"/>
              </w:rPr>
              <w:t>须</w:t>
            </w:r>
            <w:r>
              <w:rPr>
                <w:rFonts w:ascii="Times New Roman" w:hAnsi="Times New Roman" w:eastAsia="黑体"/>
                <w:b/>
                <w:bCs/>
                <w:kern w:val="0"/>
                <w:sz w:val="24"/>
                <w:highlight w:val="none"/>
                <w:lang w:bidi="ar"/>
              </w:rPr>
              <w:t>谨慎。</w:t>
            </w:r>
          </w:p>
          <w:p>
            <w:pPr>
              <w:pStyle w:val="12"/>
              <w:spacing w:line="380" w:lineRule="exact"/>
              <w:ind w:firstLine="480"/>
              <w:rPr>
                <w:rFonts w:ascii="Times New Roman" w:hAnsi="Times New Roman" w:eastAsia="黑体"/>
                <w:b/>
                <w:bCs/>
                <w:kern w:val="0"/>
                <w:sz w:val="24"/>
                <w:highlight w:val="none"/>
                <w:lang w:bidi="ar"/>
              </w:rPr>
            </w:pPr>
            <w:r>
              <w:rPr>
                <w:rFonts w:ascii="Times New Roman" w:hAnsi="Times New Roman" w:eastAsia="微软雅黑"/>
                <w:b/>
                <w:bCs/>
                <w:kern w:val="0"/>
                <w:sz w:val="24"/>
                <w:highlight w:val="none"/>
                <w:lang w:bidi="ar"/>
              </w:rPr>
              <w:t>•</w:t>
            </w:r>
            <w:r>
              <w:rPr>
                <w:rFonts w:ascii="Times New Roman" w:hAnsi="Times New Roman" w:eastAsia="黑体"/>
                <w:b/>
                <w:bCs/>
                <w:kern w:val="0"/>
                <w:sz w:val="24"/>
                <w:highlight w:val="none"/>
                <w:lang w:bidi="ar"/>
              </w:rPr>
              <w:t>本理财产品由恒丰理财有限责任公司（“恒丰理财”）发行与管理，代理销售机构不承担产品的投资、兑付和风险管理责任。</w:t>
            </w:r>
          </w:p>
          <w:p>
            <w:pPr>
              <w:pStyle w:val="12"/>
              <w:spacing w:line="380" w:lineRule="exact"/>
              <w:ind w:firstLine="480"/>
              <w:rPr>
                <w:rFonts w:ascii="Times New Roman" w:hAnsi="Times New Roman" w:eastAsia="黑体"/>
                <w:b/>
                <w:bCs/>
                <w:kern w:val="0"/>
                <w:sz w:val="24"/>
                <w:highlight w:val="none"/>
                <w:lang w:bidi="ar"/>
              </w:rPr>
            </w:pPr>
            <w:r>
              <w:rPr>
                <w:rFonts w:ascii="Times New Roman" w:hAnsi="Times New Roman" w:eastAsia="微软雅黑"/>
                <w:b/>
                <w:bCs/>
                <w:kern w:val="0"/>
                <w:sz w:val="24"/>
                <w:highlight w:val="none"/>
                <w:lang w:bidi="ar"/>
              </w:rPr>
              <w:t>•</w:t>
            </w:r>
            <w:r>
              <w:rPr>
                <w:rFonts w:ascii="Times New Roman" w:hAnsi="Times New Roman" w:eastAsia="黑体"/>
                <w:b/>
                <w:bCs/>
                <w:kern w:val="0"/>
                <w:sz w:val="24"/>
                <w:highlight w:val="none"/>
                <w:lang w:bidi="ar"/>
              </w:rPr>
              <w:t>恒丰理财作为产品管理人</w:t>
            </w:r>
            <w:r>
              <w:rPr>
                <w:rFonts w:hint="eastAsia" w:ascii="Times New Roman" w:hAnsi="Times New Roman" w:eastAsia="黑体"/>
                <w:b/>
                <w:bCs/>
                <w:kern w:val="0"/>
                <w:sz w:val="24"/>
                <w:highlight w:val="none"/>
                <w:lang w:bidi="ar"/>
              </w:rPr>
              <w:t>，独立履行产品管理职责。恒丰理财委托代理销售机构销售理财产品的，可能委托产品管理人的关联方作为理财产品的代理销售机构，负责理财产品的代理销售工作；就理财产品的托管可能委托理财产品管理人的关联方作为理财产品的托管人。</w:t>
            </w:r>
            <w:r>
              <w:rPr>
                <w:rFonts w:ascii="Times New Roman" w:hAnsi="Times New Roman" w:eastAsia="黑体"/>
                <w:b/>
                <w:bCs/>
                <w:kern w:val="0"/>
                <w:sz w:val="24"/>
                <w:highlight w:val="none"/>
                <w:lang w:bidi="ar"/>
              </w:rPr>
              <w:t>本</w:t>
            </w:r>
            <w:r>
              <w:rPr>
                <w:rFonts w:hint="eastAsia" w:ascii="Times New Roman" w:hAnsi="Times New Roman" w:eastAsia="黑体"/>
                <w:b/>
                <w:bCs/>
                <w:kern w:val="0"/>
                <w:sz w:val="24"/>
                <w:highlight w:val="none"/>
                <w:lang w:bidi="ar"/>
              </w:rPr>
              <w:t>理财</w:t>
            </w:r>
            <w:r>
              <w:rPr>
                <w:rFonts w:ascii="Times New Roman" w:hAnsi="Times New Roman" w:eastAsia="黑体"/>
                <w:b/>
                <w:bCs/>
                <w:kern w:val="0"/>
                <w:sz w:val="24"/>
                <w:highlight w:val="none"/>
                <w:lang w:bidi="ar"/>
              </w:rPr>
              <w:t>产品的</w:t>
            </w:r>
            <w:r>
              <w:rPr>
                <w:rFonts w:hint="eastAsia" w:ascii="Times New Roman" w:hAnsi="Times New Roman" w:eastAsia="黑体"/>
                <w:b/>
                <w:bCs/>
                <w:kern w:val="0"/>
                <w:sz w:val="24"/>
                <w:highlight w:val="none"/>
                <w:lang w:bidi="ar"/>
              </w:rPr>
              <w:t>代理</w:t>
            </w:r>
            <w:r>
              <w:rPr>
                <w:rFonts w:ascii="Times New Roman" w:hAnsi="Times New Roman" w:eastAsia="黑体"/>
                <w:b/>
                <w:bCs/>
                <w:kern w:val="0"/>
                <w:sz w:val="24"/>
                <w:highlight w:val="none"/>
                <w:lang w:bidi="ar"/>
              </w:rPr>
              <w:t>销售机构和托管人均</w:t>
            </w:r>
            <w:r>
              <w:rPr>
                <w:rFonts w:hint="eastAsia" w:ascii="Times New Roman" w:hAnsi="Times New Roman" w:eastAsia="黑体"/>
                <w:b/>
                <w:bCs/>
                <w:kern w:val="0"/>
                <w:sz w:val="24"/>
                <w:highlight w:val="none"/>
                <w:lang w:bidi="ar"/>
              </w:rPr>
              <w:t>可能</w:t>
            </w:r>
            <w:r>
              <w:rPr>
                <w:rFonts w:ascii="Times New Roman" w:hAnsi="Times New Roman" w:eastAsia="黑体"/>
                <w:b/>
                <w:bCs/>
                <w:kern w:val="0"/>
                <w:sz w:val="24"/>
                <w:highlight w:val="none"/>
                <w:lang w:bidi="ar"/>
              </w:rPr>
              <w:t>与产品管理人存在关联关系</w:t>
            </w:r>
            <w:r>
              <w:rPr>
                <w:rFonts w:hint="eastAsia" w:ascii="Times New Roman" w:hAnsi="Times New Roman" w:eastAsia="黑体"/>
                <w:b/>
                <w:bCs/>
                <w:kern w:val="0"/>
                <w:sz w:val="24"/>
                <w:highlight w:val="none"/>
                <w:lang w:bidi="ar"/>
              </w:rPr>
              <w:t>，恒丰理财已履行了现行法律法规和监管规定的必要程序，</w:t>
            </w:r>
            <w:r>
              <w:rPr>
                <w:rFonts w:ascii="Times New Roman" w:hAnsi="Times New Roman" w:eastAsia="黑体"/>
                <w:b/>
                <w:bCs/>
                <w:kern w:val="0"/>
                <w:sz w:val="24"/>
                <w:highlight w:val="none"/>
                <w:lang w:bidi="ar"/>
              </w:rPr>
              <w:t>产品管理人向本产品的</w:t>
            </w:r>
            <w:r>
              <w:rPr>
                <w:rFonts w:hint="eastAsia" w:ascii="Times New Roman" w:hAnsi="Times New Roman" w:eastAsia="黑体"/>
                <w:b/>
                <w:bCs/>
                <w:kern w:val="0"/>
                <w:sz w:val="24"/>
                <w:highlight w:val="none"/>
                <w:lang w:bidi="ar"/>
              </w:rPr>
              <w:t>代理</w:t>
            </w:r>
            <w:r>
              <w:rPr>
                <w:rFonts w:ascii="Times New Roman" w:hAnsi="Times New Roman" w:eastAsia="黑体"/>
                <w:b/>
                <w:bCs/>
                <w:kern w:val="0"/>
                <w:sz w:val="24"/>
                <w:highlight w:val="none"/>
                <w:lang w:bidi="ar"/>
              </w:rPr>
              <w:t>销售机构和托管人支付销售</w:t>
            </w:r>
            <w:r>
              <w:rPr>
                <w:rFonts w:hint="eastAsia" w:ascii="Times New Roman" w:hAnsi="Times New Roman" w:eastAsia="黑体"/>
                <w:b/>
                <w:bCs/>
                <w:kern w:val="0"/>
                <w:sz w:val="24"/>
                <w:highlight w:val="none"/>
                <w:lang w:bidi="ar"/>
              </w:rPr>
              <w:t>服务</w:t>
            </w:r>
            <w:r>
              <w:rPr>
                <w:rFonts w:ascii="Times New Roman" w:hAnsi="Times New Roman" w:eastAsia="黑体"/>
                <w:b/>
                <w:bCs/>
                <w:kern w:val="0"/>
                <w:sz w:val="24"/>
                <w:highlight w:val="none"/>
                <w:lang w:bidi="ar"/>
              </w:rPr>
              <w:t>费和托管费，</w:t>
            </w:r>
            <w:r>
              <w:rPr>
                <w:rFonts w:hint="eastAsia" w:ascii="Times New Roman" w:hAnsi="Times New Roman" w:eastAsia="黑体"/>
                <w:b/>
                <w:bCs/>
                <w:kern w:val="0"/>
                <w:sz w:val="24"/>
                <w:highlight w:val="none"/>
                <w:lang w:bidi="ar"/>
              </w:rPr>
              <w:t>可能出现关联交易行为。尽管恒丰理财将严格遵守法律、行政法规和金融监督管理部门的规定对关联方进行准确识别，按规定及时进行审批、备案并进行充分披露，不会以本理财产品与关联方进行不正当交易、利益输送等违反相关监管规定的行为，以尽量降低关联交易风险，但仍存在无法完全排除因关联交易而导致影响投资者收益的风险。</w:t>
            </w:r>
            <w:r>
              <w:rPr>
                <w:rFonts w:ascii="Times New Roman" w:hAnsi="Times New Roman" w:eastAsia="黑体"/>
                <w:b/>
                <w:bCs/>
                <w:kern w:val="0"/>
                <w:sz w:val="24"/>
                <w:highlight w:val="none"/>
                <w:lang w:bidi="ar"/>
              </w:rPr>
              <w:t>投资者确认本</w:t>
            </w:r>
            <w:r>
              <w:rPr>
                <w:rFonts w:hint="eastAsia" w:ascii="Times New Roman" w:hAnsi="Times New Roman" w:eastAsia="黑体"/>
                <w:b/>
                <w:bCs/>
                <w:kern w:val="0"/>
                <w:sz w:val="24"/>
                <w:highlight w:val="none"/>
                <w:lang w:bidi="ar"/>
              </w:rPr>
              <w:t>理财产品说明书</w:t>
            </w:r>
            <w:r>
              <w:rPr>
                <w:rFonts w:ascii="Times New Roman" w:hAnsi="Times New Roman" w:eastAsia="黑体"/>
                <w:b/>
                <w:bCs/>
                <w:kern w:val="0"/>
                <w:sz w:val="24"/>
                <w:highlight w:val="none"/>
                <w:lang w:bidi="ar"/>
              </w:rPr>
              <w:t>，即视为已知悉并接受本</w:t>
            </w:r>
            <w:r>
              <w:rPr>
                <w:rFonts w:hint="eastAsia" w:ascii="Times New Roman" w:hAnsi="Times New Roman" w:eastAsia="黑体"/>
                <w:b/>
                <w:bCs/>
                <w:kern w:val="0"/>
                <w:sz w:val="24"/>
                <w:highlight w:val="none"/>
                <w:lang w:bidi="ar"/>
              </w:rPr>
              <w:t>理财</w:t>
            </w:r>
            <w:r>
              <w:rPr>
                <w:rFonts w:ascii="Times New Roman" w:hAnsi="Times New Roman" w:eastAsia="黑体"/>
                <w:b/>
                <w:bCs/>
                <w:kern w:val="0"/>
                <w:sz w:val="24"/>
                <w:highlight w:val="none"/>
                <w:lang w:bidi="ar"/>
              </w:rPr>
              <w:t>产品由代理销售机构的关联方发行与管理。</w:t>
            </w:r>
          </w:p>
          <w:p>
            <w:pPr>
              <w:pStyle w:val="12"/>
              <w:spacing w:line="380" w:lineRule="exact"/>
              <w:ind w:firstLine="480"/>
              <w:rPr>
                <w:rFonts w:ascii="Times New Roman" w:hAnsi="Times New Roman" w:eastAsia="黑体"/>
                <w:kern w:val="0"/>
                <w:sz w:val="24"/>
                <w:highlight w:val="none"/>
                <w:lang w:bidi="ar"/>
              </w:rPr>
            </w:pPr>
            <w:r>
              <w:rPr>
                <w:rFonts w:ascii="Times New Roman" w:hAnsi="Times New Roman" w:eastAsia="微软雅黑"/>
                <w:kern w:val="0"/>
                <w:sz w:val="24"/>
                <w:highlight w:val="none"/>
                <w:lang w:bidi="ar"/>
              </w:rPr>
              <w:t>•</w:t>
            </w:r>
            <w:r>
              <w:rPr>
                <w:rFonts w:ascii="Times New Roman" w:hAnsi="Times New Roman" w:eastAsia="黑体"/>
                <w:kern w:val="0"/>
                <w:sz w:val="24"/>
                <w:highlight w:val="none"/>
                <w:lang w:bidi="ar"/>
              </w:rPr>
              <w:t>本理财产品仅向依据中华人民共和国有关法律法规及本理财产品说明书规定可以购买本理财产品的投资者发售。</w:t>
            </w:r>
          </w:p>
          <w:p>
            <w:pPr>
              <w:pStyle w:val="12"/>
              <w:spacing w:line="380" w:lineRule="exact"/>
              <w:ind w:firstLine="480"/>
              <w:rPr>
                <w:rFonts w:ascii="Times New Roman" w:hAnsi="Times New Roman" w:eastAsia="黑体"/>
                <w:kern w:val="0"/>
                <w:sz w:val="24"/>
                <w:highlight w:val="none"/>
                <w:lang w:bidi="ar"/>
              </w:rPr>
            </w:pPr>
            <w:r>
              <w:rPr>
                <w:rFonts w:ascii="Times New Roman" w:hAnsi="Times New Roman" w:eastAsia="微软雅黑"/>
                <w:kern w:val="0"/>
                <w:sz w:val="24"/>
                <w:highlight w:val="none"/>
                <w:lang w:bidi="ar"/>
              </w:rPr>
              <w:t>•</w:t>
            </w:r>
            <w:r>
              <w:rPr>
                <w:rFonts w:ascii="Times New Roman" w:hAnsi="Times New Roman" w:eastAsia="黑体"/>
                <w:kern w:val="0"/>
                <w:sz w:val="24"/>
                <w:highlight w:val="none"/>
                <w:lang w:bidi="ar"/>
              </w:rPr>
              <w:t>投资者承诺其用于认购理财产品的资金来源合法合规，不存在使用贷款、发行债券等筹集的非自有资金投资本理财产品的情形。</w:t>
            </w:r>
          </w:p>
          <w:p>
            <w:pPr>
              <w:pStyle w:val="12"/>
              <w:spacing w:line="380" w:lineRule="exact"/>
              <w:ind w:firstLine="480"/>
              <w:rPr>
                <w:rFonts w:ascii="Times New Roman" w:hAnsi="Times New Roman" w:eastAsia="黑体"/>
                <w:kern w:val="0"/>
                <w:sz w:val="24"/>
                <w:highlight w:val="none"/>
                <w:lang w:bidi="ar"/>
              </w:rPr>
            </w:pPr>
            <w:r>
              <w:rPr>
                <w:rFonts w:ascii="Times New Roman" w:hAnsi="Times New Roman" w:eastAsia="微软雅黑"/>
                <w:kern w:val="0"/>
                <w:sz w:val="24"/>
                <w:highlight w:val="none"/>
                <w:lang w:bidi="ar"/>
              </w:rPr>
              <w:t>•</w:t>
            </w:r>
            <w:r>
              <w:rPr>
                <w:rFonts w:ascii="Times New Roman" w:hAnsi="Times New Roman" w:eastAsia="黑体"/>
                <w:kern w:val="0"/>
                <w:sz w:val="24"/>
                <w:highlight w:val="none"/>
                <w:lang w:bidi="ar"/>
              </w:rPr>
              <w:t>投资者承诺投资本理财产品使用的资金为投资者合法持有，不存在代他人持有或投资理财产品的情形；资金来源合法合规，仅为合法目的投资本理财产品；如发生异常情况，投资者将配合管理人和代理销售机构开展客户身份识别及反洗钱</w:t>
            </w:r>
            <w:r>
              <w:rPr>
                <w:rFonts w:hint="eastAsia" w:ascii="Times New Roman" w:hAnsi="Times New Roman" w:eastAsia="黑体"/>
                <w:kern w:val="0"/>
                <w:sz w:val="24"/>
                <w:highlight w:val="none"/>
                <w:lang w:bidi="ar"/>
              </w:rPr>
              <w:t>、反恐怖融资及非居民金融账户涉税信息</w:t>
            </w:r>
            <w:r>
              <w:rPr>
                <w:rFonts w:ascii="Times New Roman" w:hAnsi="Times New Roman" w:eastAsia="黑体"/>
                <w:kern w:val="0"/>
                <w:sz w:val="24"/>
                <w:highlight w:val="none"/>
                <w:lang w:bidi="ar"/>
              </w:rPr>
              <w:t>尽职调查等活动，及时、真实、准确、完整提供身份信息及资金来源等信息。</w:t>
            </w:r>
          </w:p>
          <w:p>
            <w:pPr>
              <w:pStyle w:val="12"/>
              <w:spacing w:line="380" w:lineRule="exact"/>
              <w:ind w:firstLine="480"/>
              <w:rPr>
                <w:rFonts w:ascii="Times New Roman" w:hAnsi="Times New Roman" w:eastAsia="黑体"/>
                <w:kern w:val="0"/>
                <w:sz w:val="24"/>
                <w:highlight w:val="none"/>
                <w:lang w:bidi="ar"/>
              </w:rPr>
            </w:pPr>
            <w:r>
              <w:rPr>
                <w:rFonts w:ascii="Times New Roman" w:hAnsi="Times New Roman" w:eastAsia="微软雅黑"/>
                <w:kern w:val="0"/>
                <w:sz w:val="24"/>
                <w:highlight w:val="none"/>
                <w:lang w:bidi="ar"/>
              </w:rPr>
              <w:t>•</w:t>
            </w:r>
            <w:r>
              <w:rPr>
                <w:rFonts w:ascii="Times New Roman" w:hAnsi="Times New Roman" w:eastAsia="黑体"/>
                <w:kern w:val="0"/>
                <w:sz w:val="24"/>
                <w:highlight w:val="none"/>
                <w:lang w:bidi="ar"/>
              </w:rPr>
              <w:t>在购买本理财产品前，请投资者仔细阅读理财产品销售文件，确保自己详细了解和审慎评估本理财产品的投资方向、风险类型，完全理解该项投资的性质和所涉及的风险，并充分、慎重考虑自身的风险承受能力。投资者若对本理财产品说明书的内容有任何疑问，请向代理销售机构各营业网点</w:t>
            </w:r>
            <w:r>
              <w:rPr>
                <w:rFonts w:hint="eastAsia" w:ascii="Times New Roman" w:hAnsi="Times New Roman" w:eastAsia="黑体"/>
                <w:kern w:val="0"/>
                <w:sz w:val="24"/>
                <w:highlight w:val="none"/>
                <w:lang w:bidi="ar"/>
              </w:rPr>
              <w:t>或通过客服热线</w:t>
            </w:r>
            <w:r>
              <w:rPr>
                <w:rFonts w:ascii="Times New Roman" w:hAnsi="Times New Roman" w:eastAsia="黑体"/>
                <w:kern w:val="0"/>
                <w:sz w:val="24"/>
                <w:highlight w:val="none"/>
                <w:lang w:bidi="ar"/>
              </w:rPr>
              <w:t>咨询。</w:t>
            </w:r>
          </w:p>
          <w:p>
            <w:pPr>
              <w:pStyle w:val="12"/>
              <w:spacing w:line="380" w:lineRule="exact"/>
              <w:ind w:firstLine="480"/>
              <w:rPr>
                <w:rFonts w:ascii="Times New Roman" w:hAnsi="Times New Roman" w:eastAsia="黑体"/>
                <w:kern w:val="0"/>
                <w:sz w:val="24"/>
                <w:highlight w:val="none"/>
                <w:lang w:bidi="ar"/>
              </w:rPr>
            </w:pPr>
            <w:r>
              <w:rPr>
                <w:rFonts w:ascii="Times New Roman" w:hAnsi="Times New Roman" w:eastAsia="微软雅黑"/>
                <w:kern w:val="0"/>
                <w:sz w:val="24"/>
                <w:highlight w:val="none"/>
                <w:lang w:bidi="ar"/>
              </w:rPr>
              <w:t>•</w:t>
            </w:r>
            <w:r>
              <w:rPr>
                <w:rFonts w:ascii="Times New Roman" w:hAnsi="Times New Roman" w:eastAsia="黑体"/>
                <w:kern w:val="0"/>
                <w:sz w:val="24"/>
                <w:highlight w:val="none"/>
                <w:lang w:bidi="ar"/>
              </w:rPr>
              <w:t>除本理财产品说明书中明确规定的收益及收益分配方式外，任何业绩比较基准或类似表述均</w:t>
            </w:r>
            <w:r>
              <w:rPr>
                <w:rFonts w:hint="eastAsia" w:ascii="Times New Roman" w:hAnsi="Times New Roman" w:eastAsia="黑体"/>
                <w:kern w:val="0"/>
                <w:sz w:val="24"/>
                <w:highlight w:val="none"/>
                <w:lang w:bidi="ar"/>
              </w:rPr>
              <w:t>属</w:t>
            </w:r>
            <w:r>
              <w:rPr>
                <w:rFonts w:ascii="Times New Roman" w:hAnsi="Times New Roman" w:eastAsia="黑体"/>
                <w:kern w:val="0"/>
                <w:sz w:val="24"/>
                <w:highlight w:val="none"/>
                <w:lang w:bidi="ar"/>
              </w:rPr>
              <w:t>不具有法律约束力的用语，不代表投资者可能获得的实际收益，亦不构成</w:t>
            </w:r>
            <w:r>
              <w:rPr>
                <w:rFonts w:hint="eastAsia" w:ascii="Times New Roman" w:hAnsi="Times New Roman" w:eastAsia="黑体"/>
                <w:kern w:val="0"/>
                <w:sz w:val="24"/>
                <w:highlight w:val="none"/>
                <w:lang w:bidi="ar"/>
              </w:rPr>
              <w:t>产品管理人</w:t>
            </w:r>
            <w:r>
              <w:rPr>
                <w:rFonts w:ascii="Times New Roman" w:hAnsi="Times New Roman" w:eastAsia="黑体"/>
                <w:kern w:val="0"/>
                <w:sz w:val="24"/>
                <w:highlight w:val="none"/>
                <w:lang w:bidi="ar"/>
              </w:rPr>
              <w:t>对本理财产品的任何收益承诺。</w:t>
            </w:r>
          </w:p>
          <w:p>
            <w:pPr>
              <w:pStyle w:val="12"/>
              <w:spacing w:line="380" w:lineRule="exact"/>
              <w:ind w:firstLine="480"/>
              <w:rPr>
                <w:rFonts w:ascii="Times New Roman" w:hAnsi="Times New Roman" w:eastAsia="黑体"/>
                <w:kern w:val="0"/>
                <w:sz w:val="24"/>
                <w:highlight w:val="none"/>
                <w:lang w:bidi="ar"/>
              </w:rPr>
            </w:pPr>
            <w:r>
              <w:rPr>
                <w:rFonts w:ascii="Times New Roman" w:hAnsi="Times New Roman" w:eastAsia="微软雅黑"/>
                <w:kern w:val="0"/>
                <w:sz w:val="24"/>
                <w:highlight w:val="none"/>
                <w:lang w:bidi="ar"/>
              </w:rPr>
              <w:t>•</w:t>
            </w:r>
            <w:r>
              <w:rPr>
                <w:rFonts w:hint="eastAsia" w:ascii="Times New Roman" w:hAnsi="Times New Roman" w:eastAsia="微软雅黑"/>
                <w:kern w:val="0"/>
                <w:sz w:val="24"/>
                <w:highlight w:val="none"/>
                <w:lang w:bidi="ar"/>
              </w:rPr>
              <w:t>产品管理人</w:t>
            </w:r>
            <w:r>
              <w:rPr>
                <w:rFonts w:ascii="Times New Roman" w:hAnsi="Times New Roman" w:eastAsia="黑体"/>
                <w:kern w:val="0"/>
                <w:sz w:val="24"/>
                <w:highlight w:val="none"/>
                <w:lang w:bidi="ar"/>
              </w:rPr>
              <w:t>承诺以诚实信用、勤勉尽责的原则，并只根据本</w:t>
            </w:r>
            <w:r>
              <w:rPr>
                <w:rFonts w:hint="eastAsia" w:ascii="Times New Roman" w:hAnsi="Times New Roman" w:eastAsia="黑体"/>
                <w:kern w:val="0"/>
                <w:sz w:val="24"/>
                <w:highlight w:val="none"/>
                <w:lang w:bidi="ar"/>
              </w:rPr>
              <w:t>理财</w:t>
            </w:r>
            <w:r>
              <w:rPr>
                <w:rFonts w:ascii="Times New Roman" w:hAnsi="Times New Roman" w:eastAsia="黑体"/>
                <w:kern w:val="0"/>
                <w:sz w:val="24"/>
                <w:highlight w:val="none"/>
                <w:lang w:bidi="ar"/>
              </w:rPr>
              <w:t>产品说明书所载要求管理和运用理财产品资产。</w:t>
            </w:r>
          </w:p>
          <w:p>
            <w:pPr>
              <w:pStyle w:val="12"/>
              <w:spacing w:line="380" w:lineRule="exact"/>
              <w:ind w:firstLine="480"/>
              <w:rPr>
                <w:rFonts w:ascii="Times New Roman" w:hAnsi="Times New Roman" w:eastAsia="黑体"/>
                <w:b/>
                <w:bCs/>
                <w:kern w:val="0"/>
                <w:sz w:val="24"/>
                <w:highlight w:val="none"/>
                <w:lang w:bidi="ar"/>
              </w:rPr>
            </w:pPr>
            <w:r>
              <w:rPr>
                <w:rFonts w:ascii="Times New Roman" w:hAnsi="Times New Roman" w:eastAsia="微软雅黑"/>
                <w:b/>
                <w:bCs/>
                <w:kern w:val="0"/>
                <w:sz w:val="24"/>
                <w:highlight w:val="none"/>
                <w:lang w:bidi="ar"/>
              </w:rPr>
              <w:t>•</w:t>
            </w:r>
            <w:r>
              <w:rPr>
                <w:rFonts w:ascii="Times New Roman" w:hAnsi="Times New Roman" w:eastAsia="黑体"/>
                <w:b/>
                <w:bCs/>
                <w:kern w:val="0"/>
                <w:sz w:val="24"/>
                <w:highlight w:val="none"/>
                <w:lang w:bidi="ar"/>
              </w:rPr>
              <w:t>本理财产品的收益特征为非保本浮动收益，不保证本金和收益，您的本金有可能会因市场变动蒙受重大损失，您应充分认识投资风险，谨慎投资。</w:t>
            </w:r>
          </w:p>
          <w:p>
            <w:pPr>
              <w:pStyle w:val="12"/>
              <w:spacing w:line="380" w:lineRule="exact"/>
              <w:ind w:firstLine="480"/>
              <w:rPr>
                <w:rFonts w:ascii="Times New Roman" w:hAnsi="Times New Roman" w:eastAsia="黑体"/>
                <w:kern w:val="0"/>
                <w:sz w:val="24"/>
                <w:highlight w:val="none"/>
                <w:lang w:bidi="ar"/>
              </w:rPr>
            </w:pPr>
            <w:r>
              <w:rPr>
                <w:rFonts w:ascii="Times New Roman" w:hAnsi="Times New Roman" w:eastAsia="微软雅黑"/>
                <w:kern w:val="0"/>
                <w:sz w:val="24"/>
                <w:highlight w:val="none"/>
                <w:lang w:bidi="ar"/>
              </w:rPr>
              <w:t>•</w:t>
            </w:r>
            <w:r>
              <w:rPr>
                <w:rFonts w:ascii="Times New Roman" w:hAnsi="Times New Roman" w:eastAsia="黑体"/>
                <w:kern w:val="0"/>
                <w:sz w:val="24"/>
                <w:highlight w:val="none"/>
                <w:lang w:bidi="ar"/>
              </w:rPr>
              <w:t>在本理财产品存续期内，如出于维持本理财产品正常运营的需要且在不损害投资者利益的前提下，或因国家法律法规、监管规定发生变化，产品管理人有权在法律允许的范围内单方对本理财产品说明书进行修订。若本理财产品的投资者不接受上述修订，则应</w:t>
            </w:r>
            <w:r>
              <w:rPr>
                <w:rFonts w:hint="eastAsia" w:ascii="Times New Roman" w:hAnsi="Times New Roman" w:eastAsia="黑体"/>
                <w:kern w:val="0"/>
                <w:sz w:val="24"/>
                <w:highlight w:val="none"/>
                <w:lang w:bidi="ar"/>
              </w:rPr>
              <w:t>在产品管理人披露的相关调整生效前</w:t>
            </w:r>
            <w:r>
              <w:rPr>
                <w:rFonts w:ascii="Times New Roman" w:hAnsi="Times New Roman" w:eastAsia="黑体"/>
                <w:kern w:val="0"/>
                <w:sz w:val="24"/>
                <w:highlight w:val="none"/>
                <w:lang w:bidi="ar"/>
              </w:rPr>
              <w:t>及时通过各代理销售机构</w:t>
            </w:r>
            <w:r>
              <w:rPr>
                <w:rFonts w:hint="eastAsia" w:ascii="Times New Roman" w:hAnsi="Times New Roman" w:eastAsia="黑体"/>
                <w:kern w:val="0"/>
                <w:sz w:val="24"/>
                <w:highlight w:val="none"/>
                <w:lang w:bidi="ar"/>
              </w:rPr>
              <w:t>渠道</w:t>
            </w:r>
            <w:r>
              <w:rPr>
                <w:rFonts w:ascii="Times New Roman" w:hAnsi="Times New Roman" w:eastAsia="黑体"/>
                <w:kern w:val="0"/>
                <w:sz w:val="24"/>
                <w:highlight w:val="none"/>
                <w:lang w:bidi="ar"/>
              </w:rPr>
              <w:t>赎回本</w:t>
            </w:r>
            <w:r>
              <w:rPr>
                <w:rFonts w:hint="eastAsia" w:ascii="Times New Roman" w:hAnsi="Times New Roman" w:eastAsia="黑体"/>
                <w:kern w:val="0"/>
                <w:sz w:val="24"/>
                <w:highlight w:val="none"/>
                <w:lang w:bidi="ar"/>
              </w:rPr>
              <w:t>理财</w:t>
            </w:r>
            <w:r>
              <w:rPr>
                <w:rFonts w:ascii="Times New Roman" w:hAnsi="Times New Roman" w:eastAsia="黑体"/>
                <w:kern w:val="0"/>
                <w:sz w:val="24"/>
                <w:highlight w:val="none"/>
                <w:lang w:bidi="ar"/>
              </w:rPr>
              <w:t>产品</w:t>
            </w:r>
            <w:bookmarkStart w:id="0" w:name="_Hlk113301591"/>
            <w:r>
              <w:rPr>
                <w:rFonts w:hint="eastAsia" w:ascii="Times New Roman" w:hAnsi="Times New Roman" w:eastAsia="黑体"/>
                <w:sz w:val="24"/>
                <w:highlight w:val="none"/>
                <w:lang w:bidi="ar"/>
              </w:rPr>
              <w:t>（此种情况下产品管理人将可能在赎回开放日外单独开放特殊赎回期间，具体以届时公告为准）</w:t>
            </w:r>
            <w:bookmarkEnd w:id="0"/>
            <w:r>
              <w:rPr>
                <w:rFonts w:ascii="Times New Roman" w:hAnsi="Times New Roman" w:eastAsia="黑体"/>
                <w:kern w:val="0"/>
                <w:sz w:val="24"/>
                <w:highlight w:val="none"/>
                <w:lang w:bidi="ar"/>
              </w:rPr>
              <w:t>；若本理财产品投资者未赎回本</w:t>
            </w:r>
            <w:r>
              <w:rPr>
                <w:rFonts w:hint="eastAsia" w:ascii="Times New Roman" w:hAnsi="Times New Roman" w:eastAsia="黑体"/>
                <w:kern w:val="0"/>
                <w:sz w:val="24"/>
                <w:highlight w:val="none"/>
                <w:lang w:bidi="ar"/>
              </w:rPr>
              <w:t>理财</w:t>
            </w:r>
            <w:r>
              <w:rPr>
                <w:rFonts w:ascii="Times New Roman" w:hAnsi="Times New Roman" w:eastAsia="黑体"/>
                <w:kern w:val="0"/>
                <w:sz w:val="24"/>
                <w:highlight w:val="none"/>
                <w:lang w:bidi="ar"/>
              </w:rPr>
              <w:t>产品，则视为本理财产品投资者对相关修订无异议并继续持有本理财产品。</w:t>
            </w:r>
          </w:p>
          <w:p>
            <w:pPr>
              <w:pStyle w:val="12"/>
              <w:spacing w:line="380" w:lineRule="exact"/>
              <w:ind w:firstLine="480"/>
              <w:rPr>
                <w:rFonts w:ascii="Times New Roman" w:hAnsi="Times New Roman" w:eastAsia="黑体"/>
                <w:b/>
                <w:bCs/>
                <w:kern w:val="0"/>
                <w:sz w:val="24"/>
                <w:highlight w:val="none"/>
                <w:lang w:bidi="ar"/>
              </w:rPr>
            </w:pPr>
            <w:r>
              <w:rPr>
                <w:rFonts w:ascii="Times New Roman" w:hAnsi="Times New Roman" w:eastAsia="微软雅黑"/>
                <w:b/>
                <w:bCs/>
                <w:kern w:val="0"/>
                <w:sz w:val="24"/>
                <w:highlight w:val="none"/>
                <w:lang w:bidi="ar"/>
              </w:rPr>
              <w:t>•</w:t>
            </w:r>
            <w:r>
              <w:rPr>
                <w:rFonts w:ascii="Times New Roman" w:hAnsi="Times New Roman" w:eastAsia="黑体"/>
                <w:b/>
                <w:bCs/>
                <w:kern w:val="0"/>
                <w:sz w:val="24"/>
                <w:highlight w:val="none"/>
                <w:lang w:bidi="ar"/>
              </w:rPr>
              <w:t>为贯彻落实银行业理财登记托管中心发布的</w:t>
            </w:r>
            <w:r>
              <w:rPr>
                <w:rFonts w:hint="eastAsia" w:ascii="Times New Roman" w:hAnsi="Times New Roman" w:eastAsia="黑体"/>
                <w:b/>
                <w:bCs/>
                <w:kern w:val="0"/>
                <w:sz w:val="24"/>
                <w:highlight w:val="none"/>
                <w:lang w:bidi="ar"/>
              </w:rPr>
              <w:t>《&lt;中国银行保险监督管理委员会办公厅关于进一步做好银行理财信息登记工作有关事项的通知&gt;实施细则》（理财中心发〔2018〕18号）文件的精神及相关实施细则及《银行业理财登记托管中心关于&lt;中国银保监会办公厅关于印发银行业金融机构监管数据标准化规范（2019版）&gt;数据报送工作的通知》《银行业理财登记托管中心关于</w:t>
            </w:r>
            <w:r>
              <w:rPr>
                <w:rFonts w:hint="eastAsia" w:ascii="Times New Roman" w:hAnsi="Times New Roman" w:eastAsia="黑体"/>
                <w:b/>
                <w:bCs/>
                <w:kern w:val="0"/>
                <w:sz w:val="24"/>
                <w:highlight w:val="none"/>
                <w:lang w:val="en-US" w:eastAsia="zh-CN" w:bidi="ar"/>
              </w:rPr>
              <w:t>落实</w:t>
            </w:r>
            <w:r>
              <w:rPr>
                <w:rFonts w:hint="eastAsia" w:ascii="Times New Roman" w:hAnsi="Times New Roman" w:eastAsia="黑体"/>
                <w:b/>
                <w:bCs/>
                <w:kern w:val="0"/>
                <w:sz w:val="24"/>
                <w:highlight w:val="none"/>
                <w:lang w:bidi="ar"/>
              </w:rPr>
              <w:t>&lt;中国银保监会</w:t>
            </w:r>
            <w:r>
              <w:rPr>
                <w:rFonts w:hint="eastAsia" w:ascii="Times New Roman" w:hAnsi="Times New Roman" w:eastAsia="黑体"/>
                <w:b/>
                <w:bCs/>
                <w:kern w:val="0"/>
                <w:sz w:val="24"/>
                <w:highlight w:val="none"/>
                <w:lang w:val="en-US" w:eastAsia="zh-CN" w:bidi="ar"/>
              </w:rPr>
              <w:t>银行业金融机构监管数据</w:t>
            </w:r>
            <w:r>
              <w:rPr>
                <w:rFonts w:hint="eastAsia" w:ascii="Times New Roman" w:hAnsi="Times New Roman" w:eastAsia="黑体"/>
                <w:b/>
                <w:bCs/>
                <w:kern w:val="0"/>
                <w:sz w:val="24"/>
                <w:highlight w:val="none"/>
                <w:lang w:bidi="ar"/>
              </w:rPr>
              <w:t>标准化规范（20</w:t>
            </w:r>
            <w:r>
              <w:rPr>
                <w:rFonts w:hint="eastAsia" w:ascii="Times New Roman" w:hAnsi="Times New Roman" w:eastAsia="黑体"/>
                <w:b/>
                <w:bCs/>
                <w:kern w:val="0"/>
                <w:sz w:val="24"/>
                <w:highlight w:val="none"/>
                <w:lang w:val="en-US" w:eastAsia="zh-CN" w:bidi="ar"/>
              </w:rPr>
              <w:t>21</w:t>
            </w:r>
            <w:r>
              <w:rPr>
                <w:rFonts w:hint="eastAsia" w:ascii="Times New Roman" w:hAnsi="Times New Roman" w:eastAsia="黑体"/>
                <w:b/>
                <w:bCs/>
                <w:kern w:val="0"/>
                <w:sz w:val="24"/>
                <w:highlight w:val="none"/>
                <w:lang w:bidi="ar"/>
              </w:rPr>
              <w:t>版）&gt;</w:t>
            </w:r>
            <w:r>
              <w:rPr>
                <w:rFonts w:hint="eastAsia" w:ascii="Times New Roman" w:hAnsi="Times New Roman" w:eastAsia="黑体"/>
                <w:b/>
                <w:bCs/>
                <w:kern w:val="0"/>
                <w:sz w:val="24"/>
                <w:highlight w:val="none"/>
                <w:lang w:val="en-US" w:eastAsia="zh-CN" w:bidi="ar"/>
              </w:rPr>
              <w:t>理财业务域</w:t>
            </w:r>
            <w:r>
              <w:rPr>
                <w:rFonts w:hint="eastAsia" w:ascii="Times New Roman" w:hAnsi="Times New Roman" w:eastAsia="黑体"/>
                <w:b/>
                <w:bCs/>
                <w:kern w:val="0"/>
                <w:sz w:val="24"/>
                <w:highlight w:val="none"/>
                <w:lang w:bidi="ar"/>
              </w:rPr>
              <w:t>数据报送工作的通知》等的要求，管理人将向监管机构报送投资者身份信息、每日交易、持仓等信息。后续</w:t>
            </w:r>
            <w:r>
              <w:rPr>
                <w:rFonts w:hint="eastAsia" w:ascii="Times New Roman" w:hAnsi="Times New Roman" w:eastAsia="黑体"/>
                <w:b/>
                <w:bCs/>
                <w:kern w:val="0"/>
                <w:sz w:val="24"/>
                <w:highlight w:val="none"/>
                <w:lang w:val="en-US" w:eastAsia="zh-CN" w:bidi="ar"/>
              </w:rPr>
              <w:t>金融监督管理部门</w:t>
            </w:r>
            <w:r>
              <w:rPr>
                <w:rFonts w:hint="eastAsia" w:ascii="Times New Roman" w:hAnsi="Times New Roman" w:eastAsia="黑体"/>
                <w:b/>
                <w:bCs/>
                <w:kern w:val="0"/>
                <w:sz w:val="24"/>
                <w:highlight w:val="none"/>
                <w:lang w:bidi="ar"/>
              </w:rPr>
              <w:t>和银行业理财登记托管中心等机构如果提出新的信息报送要求，管理人将按照该等机构的要求执行，投资者需予以配合。投资者签署本理财产品销售文件即视为已经同意管理人将投资者身份信息及每日持仓信息报送相关监管机构</w:t>
            </w:r>
            <w:r>
              <w:rPr>
                <w:rFonts w:ascii="Times New Roman" w:hAnsi="Times New Roman" w:eastAsia="黑体"/>
                <w:b/>
                <w:bCs/>
                <w:kern w:val="0"/>
                <w:sz w:val="24"/>
                <w:highlight w:val="none"/>
                <w:lang w:bidi="ar"/>
              </w:rPr>
              <w:t>。</w:t>
            </w:r>
          </w:p>
          <w:p>
            <w:pPr>
              <w:pStyle w:val="12"/>
              <w:spacing w:line="380" w:lineRule="exact"/>
              <w:ind w:firstLine="480"/>
              <w:rPr>
                <w:rFonts w:ascii="黑体" w:hAnsi="黑体" w:eastAsia="黑体"/>
                <w:b/>
                <w:bCs/>
                <w:sz w:val="24"/>
                <w:szCs w:val="24"/>
                <w:highlight w:val="none"/>
              </w:rPr>
            </w:pPr>
            <w:r>
              <w:rPr>
                <w:rFonts w:ascii="Times New Roman" w:hAnsi="Times New Roman" w:eastAsia="微软雅黑"/>
                <w:kern w:val="0"/>
                <w:sz w:val="24"/>
                <w:highlight w:val="none"/>
                <w:lang w:bidi="ar"/>
              </w:rPr>
              <w:t>•</w:t>
            </w:r>
            <w:r>
              <w:rPr>
                <w:rFonts w:ascii="Times New Roman" w:hAnsi="Times New Roman" w:eastAsia="黑体"/>
                <w:kern w:val="0"/>
                <w:sz w:val="24"/>
                <w:highlight w:val="none"/>
                <w:lang w:bidi="ar"/>
              </w:rPr>
              <w:t>根据监管机构要求，</w:t>
            </w:r>
            <w:bookmarkStart w:id="1" w:name="_Hlk131243436"/>
            <w:r>
              <w:rPr>
                <w:rFonts w:ascii="Times New Roman" w:hAnsi="Times New Roman" w:eastAsia="黑体"/>
                <w:b/>
                <w:bCs/>
                <w:kern w:val="0"/>
                <w:sz w:val="24"/>
                <w:highlight w:val="none"/>
                <w:lang w:bidi="ar"/>
              </w:rPr>
              <w:t>管理人（</w:t>
            </w:r>
            <w:r>
              <w:rPr>
                <w:rFonts w:hint="eastAsia" w:ascii="Times New Roman" w:hAnsi="Times New Roman" w:eastAsia="黑体"/>
                <w:b/>
                <w:bCs/>
                <w:kern w:val="0"/>
                <w:sz w:val="24"/>
                <w:highlight w:val="none"/>
                <w:lang w:bidi="ar"/>
              </w:rPr>
              <w:t>在本款中“管理人”</w:t>
            </w:r>
            <w:r>
              <w:rPr>
                <w:rFonts w:ascii="Times New Roman" w:hAnsi="Times New Roman" w:eastAsia="黑体"/>
                <w:b/>
                <w:bCs/>
                <w:kern w:val="0"/>
                <w:sz w:val="24"/>
                <w:highlight w:val="none"/>
                <w:lang w:bidi="ar"/>
              </w:rPr>
              <w:t>特指除本理财产品的产品管理人恒丰理财之外的其他管理人，包括但不限于本理财产品所投资的信托计划/资管计划的受托人、相关投资顾问等）</w:t>
            </w:r>
            <w:bookmarkEnd w:id="1"/>
            <w:r>
              <w:rPr>
                <w:rFonts w:ascii="Times New Roman" w:hAnsi="Times New Roman" w:eastAsia="黑体"/>
                <w:b/>
                <w:bCs/>
                <w:kern w:val="0"/>
                <w:sz w:val="24"/>
                <w:highlight w:val="none"/>
                <w:lang w:bidi="ar"/>
              </w:rPr>
              <w:t>有可能需要向监管机构报送投资者身份信息、持仓信息等相关信息，恒丰理财将应管理人申请，在必要范围内向管理人提供监管要求报送的相关信息，并要求该等管理人履行投资者信息保密义务。投资者签署本理财产品销售文件即视为已经同意恒丰理财在前述范围内向相关方提供投资者身份信息、持仓信息等相关信息</w:t>
            </w:r>
            <w:r>
              <w:rPr>
                <w:rFonts w:hint="eastAsia" w:ascii="Times New Roman" w:hAnsi="Times New Roman" w:eastAsia="黑体"/>
                <w:b/>
                <w:bCs/>
                <w:kern w:val="0"/>
                <w:sz w:val="24"/>
                <w:highlight w:val="none"/>
                <w:lang w:eastAsia="zh-CN" w:bidi="ar"/>
              </w:rPr>
              <w:t>，</w:t>
            </w:r>
            <w:r>
              <w:rPr>
                <w:rFonts w:hint="eastAsia" w:ascii="Times New Roman" w:hAnsi="Times New Roman" w:eastAsia="黑体"/>
                <w:b/>
                <w:bCs/>
                <w:kern w:val="0"/>
                <w:sz w:val="24"/>
                <w:highlight w:val="none"/>
                <w:lang w:bidi="ar"/>
              </w:rPr>
              <w:t>并充分理解并知晓上述信息被提供和使用的风险（详见风险揭示书）</w:t>
            </w:r>
            <w:r>
              <w:rPr>
                <w:rFonts w:hint="eastAsia" w:ascii="黑体" w:hAnsi="黑体" w:eastAsia="黑体"/>
                <w:b/>
                <w:bCs/>
                <w:sz w:val="24"/>
                <w:szCs w:val="24"/>
                <w:highlight w:val="none"/>
              </w:rPr>
              <w:t>。</w:t>
            </w:r>
          </w:p>
          <w:p>
            <w:pPr>
              <w:pStyle w:val="12"/>
              <w:spacing w:line="380" w:lineRule="exact"/>
              <w:ind w:firstLine="480"/>
              <w:rPr>
                <w:rFonts w:ascii="Times New Roman" w:hAnsi="Times New Roman" w:eastAsia="黑体"/>
                <w:kern w:val="0"/>
                <w:sz w:val="24"/>
                <w:highlight w:val="none"/>
                <w:lang w:bidi="ar"/>
              </w:rPr>
            </w:pPr>
            <w:r>
              <w:rPr>
                <w:rFonts w:ascii="Times New Roman" w:hAnsi="Times New Roman" w:eastAsia="微软雅黑"/>
                <w:kern w:val="0"/>
                <w:sz w:val="24"/>
                <w:highlight w:val="none"/>
                <w:lang w:bidi="ar"/>
              </w:rPr>
              <w:t>•</w:t>
            </w:r>
            <w:r>
              <w:rPr>
                <w:rFonts w:ascii="Times New Roman" w:hAnsi="Times New Roman" w:eastAsia="黑体"/>
                <w:kern w:val="0"/>
                <w:sz w:val="24"/>
                <w:highlight w:val="none"/>
                <w:lang w:bidi="ar"/>
              </w:rPr>
              <w:t>恒丰理财对投资者信息负有保密义务，法律法规规定、有权机关要求的除外。</w:t>
            </w:r>
          </w:p>
          <w:p>
            <w:pPr>
              <w:pStyle w:val="12"/>
              <w:spacing w:line="380" w:lineRule="exact"/>
              <w:ind w:firstLine="480"/>
              <w:rPr>
                <w:rFonts w:ascii="Times New Roman" w:hAnsi="Times New Roman" w:eastAsia="黑体"/>
                <w:sz w:val="24"/>
                <w:szCs w:val="24"/>
                <w:highlight w:val="none"/>
              </w:rPr>
            </w:pPr>
            <w:r>
              <w:rPr>
                <w:rFonts w:ascii="Times New Roman" w:hAnsi="Times New Roman" w:eastAsia="微软雅黑"/>
                <w:kern w:val="0"/>
                <w:sz w:val="24"/>
                <w:highlight w:val="none"/>
                <w:lang w:bidi="ar"/>
              </w:rPr>
              <w:t>•</w:t>
            </w:r>
            <w:r>
              <w:rPr>
                <w:rFonts w:ascii="Times New Roman" w:hAnsi="Times New Roman" w:eastAsia="黑体"/>
                <w:kern w:val="0"/>
                <w:sz w:val="24"/>
                <w:highlight w:val="none"/>
                <w:lang w:bidi="ar"/>
              </w:rPr>
              <w:t>恒丰理财有权依法对本理财产品说明书进行解释。</w:t>
            </w:r>
          </w:p>
          <w:p>
            <w:pPr>
              <w:spacing w:line="380" w:lineRule="exact"/>
              <w:ind w:firstLine="120" w:firstLineChars="50"/>
              <w:rPr>
                <w:rFonts w:eastAsia="黑体"/>
                <w:sz w:val="24"/>
                <w:highlight w:val="none"/>
              </w:rPr>
            </w:pPr>
          </w:p>
          <w:p>
            <w:pPr>
              <w:spacing w:line="380" w:lineRule="exact"/>
              <w:ind w:firstLine="120" w:firstLineChars="50"/>
              <w:rPr>
                <w:rFonts w:eastAsia="黑体"/>
                <w:sz w:val="24"/>
                <w:highlight w:val="none"/>
              </w:rPr>
            </w:pPr>
          </w:p>
          <w:p>
            <w:pPr>
              <w:spacing w:line="380" w:lineRule="exact"/>
              <w:ind w:firstLine="120" w:firstLineChars="50"/>
              <w:rPr>
                <w:rFonts w:eastAsia="黑体"/>
                <w:sz w:val="24"/>
                <w:highlight w:val="none"/>
              </w:rPr>
            </w:pPr>
          </w:p>
          <w:p>
            <w:pPr>
              <w:spacing w:line="380" w:lineRule="exact"/>
              <w:ind w:firstLine="120" w:firstLineChars="50"/>
              <w:rPr>
                <w:rFonts w:eastAsia="黑体"/>
                <w:sz w:val="24"/>
                <w:highlight w:val="none"/>
              </w:rPr>
            </w:pPr>
          </w:p>
          <w:p>
            <w:pPr>
              <w:spacing w:line="380" w:lineRule="exact"/>
              <w:ind w:firstLine="120" w:firstLineChars="50"/>
              <w:rPr>
                <w:rFonts w:eastAsia="黑体"/>
                <w:sz w:val="24"/>
                <w:highlight w:val="none"/>
              </w:rPr>
            </w:pPr>
          </w:p>
          <w:p>
            <w:pPr>
              <w:spacing w:line="380" w:lineRule="exact"/>
              <w:ind w:firstLine="120" w:firstLineChars="50"/>
              <w:rPr>
                <w:rFonts w:eastAsia="黑体"/>
                <w:sz w:val="24"/>
                <w:highlight w:val="none"/>
              </w:rPr>
            </w:pPr>
          </w:p>
          <w:p>
            <w:pPr>
              <w:pStyle w:val="2"/>
              <w:rPr>
                <w:highlight w:val="none"/>
              </w:rPr>
            </w:pPr>
          </w:p>
          <w:p>
            <w:pPr>
              <w:spacing w:line="380" w:lineRule="exact"/>
              <w:ind w:firstLine="480" w:firstLineChars="200"/>
              <w:rPr>
                <w:rFonts w:eastAsia="黑体"/>
                <w:sz w:val="24"/>
                <w:highlight w:val="none"/>
              </w:rPr>
            </w:pPr>
            <w:r>
              <w:rPr>
                <w:rFonts w:eastAsia="微软雅黑"/>
                <w:sz w:val="24"/>
                <w:highlight w:val="none"/>
              </w:rPr>
              <w:t>•</w:t>
            </w:r>
            <w:r>
              <w:rPr>
                <w:rFonts w:eastAsia="黑体"/>
                <w:sz w:val="24"/>
                <w:highlight w:val="none"/>
              </w:rPr>
              <w:t>名词释义：</w:t>
            </w:r>
          </w:p>
          <w:p>
            <w:pPr>
              <w:spacing w:line="380" w:lineRule="exact"/>
              <w:ind w:firstLine="120" w:firstLineChars="50"/>
              <w:rPr>
                <w:rFonts w:eastAsia="黑体"/>
                <w:sz w:val="24"/>
                <w:highlight w:val="none"/>
              </w:rPr>
            </w:pPr>
            <w:r>
              <w:rPr>
                <w:rFonts w:eastAsia="黑体"/>
                <w:sz w:val="24"/>
                <w:highlight w:val="none"/>
              </w:rPr>
              <w:t>（1）理财产品说明书：指本理财产品说明书，以及对该文件的有效修改或补充。</w:t>
            </w:r>
          </w:p>
          <w:p>
            <w:pPr>
              <w:spacing w:line="380" w:lineRule="exact"/>
              <w:ind w:firstLine="120" w:firstLineChars="50"/>
              <w:rPr>
                <w:rFonts w:eastAsia="黑体"/>
                <w:sz w:val="24"/>
                <w:highlight w:val="none"/>
              </w:rPr>
            </w:pPr>
            <w:r>
              <w:rPr>
                <w:rFonts w:eastAsia="黑体"/>
                <w:sz w:val="24"/>
                <w:highlight w:val="none"/>
              </w:rPr>
              <w:t>（2）风险揭示书：指作为本理财产品销售文件不可分割组成部分的风险揭示书，以及对该文件的有效修改或补充。</w:t>
            </w:r>
          </w:p>
          <w:p>
            <w:pPr>
              <w:spacing w:line="380" w:lineRule="exact"/>
              <w:ind w:firstLine="122" w:firstLineChars="50"/>
              <w:rPr>
                <w:rFonts w:eastAsia="黑体"/>
                <w:sz w:val="24"/>
                <w:highlight w:val="none"/>
              </w:rPr>
            </w:pPr>
            <w:r>
              <w:rPr>
                <w:rFonts w:eastAsia="黑体"/>
                <w:color w:val="000000"/>
                <w:spacing w:val="2"/>
                <w:sz w:val="24"/>
                <w:highlight w:val="none"/>
                <w:lang w:val="zh-CN"/>
              </w:rPr>
              <w:t>（3）</w:t>
            </w:r>
            <w:r>
              <w:rPr>
                <w:rFonts w:eastAsia="黑体"/>
                <w:sz w:val="24"/>
                <w:highlight w:val="none"/>
              </w:rPr>
              <w:t>理财产品投资协议书：指由投资者和管理人签署的，作为本理财产品销售文件不可分割组成部分的理财产品投资协议书，以及对该文件的有效修改或补充。</w:t>
            </w:r>
          </w:p>
          <w:p>
            <w:pPr>
              <w:spacing w:line="380" w:lineRule="exact"/>
              <w:ind w:firstLine="122" w:firstLineChars="50"/>
              <w:rPr>
                <w:rFonts w:eastAsia="黑体"/>
                <w:color w:val="000000"/>
                <w:spacing w:val="2"/>
                <w:sz w:val="24"/>
                <w:highlight w:val="none"/>
                <w:lang w:val="zh-CN"/>
              </w:rPr>
            </w:pPr>
            <w:r>
              <w:rPr>
                <w:rFonts w:eastAsia="黑体"/>
                <w:color w:val="000000"/>
                <w:spacing w:val="2"/>
                <w:sz w:val="24"/>
                <w:highlight w:val="none"/>
                <w:lang w:val="zh-CN"/>
              </w:rPr>
              <w:t>（4）投资者权益须知：指管理人</w:t>
            </w:r>
            <w:r>
              <w:rPr>
                <w:rFonts w:hint="eastAsia" w:eastAsia="黑体"/>
                <w:color w:val="000000"/>
                <w:spacing w:val="2"/>
                <w:sz w:val="24"/>
                <w:highlight w:val="none"/>
                <w:lang w:val="zh-CN"/>
              </w:rPr>
              <w:t>或代理销售机构</w:t>
            </w:r>
            <w:r>
              <w:rPr>
                <w:rFonts w:eastAsia="黑体"/>
                <w:color w:val="000000"/>
                <w:spacing w:val="2"/>
                <w:sz w:val="24"/>
                <w:highlight w:val="none"/>
                <w:lang w:val="zh-CN"/>
              </w:rPr>
              <w:t>统一编制的投资者权益须知。</w:t>
            </w:r>
          </w:p>
          <w:p>
            <w:pPr>
              <w:spacing w:line="380" w:lineRule="exact"/>
              <w:ind w:firstLine="120" w:firstLineChars="50"/>
              <w:rPr>
                <w:rFonts w:eastAsia="黑体"/>
                <w:sz w:val="24"/>
                <w:highlight w:val="none"/>
              </w:rPr>
            </w:pPr>
            <w:r>
              <w:rPr>
                <w:rFonts w:eastAsia="黑体"/>
                <w:color w:val="000000"/>
                <w:sz w:val="24"/>
                <w:highlight w:val="none"/>
                <w:lang w:val="zh-CN"/>
              </w:rPr>
              <w:t>（5）</w:t>
            </w:r>
            <w:r>
              <w:rPr>
                <w:rFonts w:eastAsia="黑体"/>
                <w:sz w:val="24"/>
                <w:highlight w:val="none"/>
              </w:rPr>
              <w:t>代理销售协议书：指由投资者和代理销售机构签署的，作为本理财产品销售文件不可分割组成部分的代理销售协议书，以及对该文件的有效修改或补充。</w:t>
            </w:r>
          </w:p>
          <w:p>
            <w:pPr>
              <w:spacing w:line="380" w:lineRule="exact"/>
              <w:ind w:firstLine="120" w:firstLineChars="50"/>
              <w:rPr>
                <w:highlight w:val="none"/>
              </w:rPr>
            </w:pPr>
            <w:r>
              <w:rPr>
                <w:rFonts w:eastAsia="黑体"/>
                <w:sz w:val="24"/>
                <w:highlight w:val="none"/>
              </w:rPr>
              <w:t>（6）产品认购：指在产品认购期内，投资者根据本理财产品说明书相关约定申请购买本理财产品份额的行为。</w:t>
            </w:r>
          </w:p>
          <w:p>
            <w:pPr>
              <w:spacing w:line="380" w:lineRule="exact"/>
              <w:ind w:firstLine="120" w:firstLineChars="50"/>
              <w:rPr>
                <w:rFonts w:eastAsia="黑体"/>
                <w:sz w:val="24"/>
                <w:highlight w:val="none"/>
              </w:rPr>
            </w:pPr>
            <w:r>
              <w:rPr>
                <w:rFonts w:eastAsia="黑体"/>
                <w:sz w:val="24"/>
                <w:highlight w:val="none"/>
              </w:rPr>
              <w:t>（7）产品申购：指在产品</w:t>
            </w:r>
            <w:r>
              <w:rPr>
                <w:rFonts w:hint="eastAsia" w:eastAsia="黑体"/>
                <w:sz w:val="24"/>
                <w:highlight w:val="none"/>
              </w:rPr>
              <w:t>开放期内</w:t>
            </w:r>
            <w:r>
              <w:rPr>
                <w:rFonts w:eastAsia="黑体"/>
                <w:sz w:val="24"/>
                <w:highlight w:val="none"/>
              </w:rPr>
              <w:t>，投资者根据本理财产品说明书相关约定申请购买本理财产品份额的行为。</w:t>
            </w:r>
          </w:p>
          <w:p>
            <w:pPr>
              <w:spacing w:line="380" w:lineRule="exact"/>
              <w:ind w:firstLine="120" w:firstLineChars="50"/>
              <w:rPr>
                <w:rFonts w:eastAsia="黑体"/>
                <w:sz w:val="24"/>
                <w:highlight w:val="none"/>
              </w:rPr>
            </w:pPr>
            <w:r>
              <w:rPr>
                <w:rFonts w:eastAsia="黑体"/>
                <w:sz w:val="24"/>
                <w:highlight w:val="none"/>
              </w:rPr>
              <w:t>（8）产品赎回：指在产品</w:t>
            </w:r>
            <w:r>
              <w:rPr>
                <w:rFonts w:hint="eastAsia" w:eastAsia="黑体"/>
                <w:sz w:val="24"/>
                <w:highlight w:val="none"/>
              </w:rPr>
              <w:t>开放期内</w:t>
            </w:r>
            <w:r>
              <w:rPr>
                <w:rFonts w:eastAsia="黑体"/>
                <w:sz w:val="24"/>
                <w:highlight w:val="none"/>
              </w:rPr>
              <w:t>，理财产品份额持有人根据本理财产品说明书相关约定</w:t>
            </w:r>
            <w:r>
              <w:rPr>
                <w:rFonts w:hint="eastAsia" w:eastAsia="黑体"/>
                <w:sz w:val="24"/>
                <w:highlight w:val="none"/>
              </w:rPr>
              <w:t>卖出</w:t>
            </w:r>
            <w:r>
              <w:rPr>
                <w:rFonts w:eastAsia="黑体"/>
                <w:sz w:val="24"/>
                <w:highlight w:val="none"/>
              </w:rPr>
              <w:t>已认购或申购成功的本理财产品份额的行为。</w:t>
            </w:r>
          </w:p>
          <w:p>
            <w:pPr>
              <w:spacing w:line="380" w:lineRule="exact"/>
              <w:ind w:firstLine="120" w:firstLineChars="50"/>
              <w:rPr>
                <w:rFonts w:eastAsia="黑体"/>
                <w:sz w:val="24"/>
                <w:highlight w:val="none"/>
              </w:rPr>
            </w:pPr>
            <w:r>
              <w:rPr>
                <w:rFonts w:eastAsia="黑体"/>
                <w:sz w:val="24"/>
                <w:highlight w:val="none"/>
              </w:rPr>
              <w:t>（9）开放</w:t>
            </w:r>
            <w:r>
              <w:rPr>
                <w:rFonts w:hint="eastAsia" w:eastAsia="黑体"/>
                <w:sz w:val="24"/>
                <w:highlight w:val="none"/>
              </w:rPr>
              <w:t>期</w:t>
            </w:r>
            <w:r>
              <w:rPr>
                <w:rFonts w:eastAsia="黑体"/>
                <w:sz w:val="24"/>
                <w:highlight w:val="none"/>
              </w:rPr>
              <w:t>：</w:t>
            </w:r>
            <w:r>
              <w:rPr>
                <w:rFonts w:hint="eastAsia" w:eastAsia="黑体"/>
                <w:sz w:val="24"/>
                <w:highlight w:val="none"/>
              </w:rPr>
              <w:t>开放期包括申购开放期和赎回开放期，其中，申购开放期指理财产品开放允许投资者申购的一段特定期间，赎回开放期指理财产品开放允许投资者赎回的一段特定期间。投资者在申购开放期或赎回开放期提交申购或赎回申请，并不代表申购/赎回成功，产品管理人将在申购/赎回确认日确认投资者是否申购/赎回成功</w:t>
            </w:r>
            <w:r>
              <w:rPr>
                <w:rFonts w:eastAsia="黑体"/>
                <w:sz w:val="24"/>
                <w:highlight w:val="none"/>
              </w:rPr>
              <w:t>。</w:t>
            </w:r>
          </w:p>
          <w:p>
            <w:pPr>
              <w:spacing w:line="380" w:lineRule="exact"/>
              <w:ind w:firstLine="120" w:firstLineChars="50"/>
              <w:rPr>
                <w:rFonts w:eastAsia="黑体"/>
                <w:sz w:val="24"/>
                <w:highlight w:val="none"/>
              </w:rPr>
            </w:pPr>
            <w:r>
              <w:rPr>
                <w:rFonts w:eastAsia="黑体"/>
                <w:sz w:val="24"/>
                <w:highlight w:val="none"/>
              </w:rPr>
              <w:t>（10）开放日：</w:t>
            </w:r>
            <w:r>
              <w:rPr>
                <w:rFonts w:hint="eastAsia" w:eastAsia="黑体"/>
                <w:sz w:val="24"/>
                <w:highlight w:val="none"/>
              </w:rPr>
              <w:t>指为投资者办理本理财产品份额申购、赎回或其他业务的工作日，包括申购开放日和赎回开放日。</w:t>
            </w:r>
          </w:p>
          <w:p>
            <w:pPr>
              <w:spacing w:line="380" w:lineRule="exact"/>
              <w:ind w:firstLine="120" w:firstLineChars="50"/>
              <w:rPr>
                <w:rFonts w:eastAsia="黑体"/>
                <w:sz w:val="24"/>
                <w:highlight w:val="none"/>
              </w:rPr>
            </w:pPr>
            <w:r>
              <w:rPr>
                <w:rFonts w:eastAsia="黑体"/>
                <w:sz w:val="24"/>
                <w:highlight w:val="none"/>
              </w:rPr>
              <w:t>（11）申购/赎回确认日：指管理人对投资者要求申购/赎回本理财产品份额的申请予以确认的日期。</w:t>
            </w:r>
          </w:p>
          <w:p>
            <w:pPr>
              <w:spacing w:line="380" w:lineRule="exact"/>
              <w:ind w:firstLine="120" w:firstLineChars="50"/>
              <w:rPr>
                <w:rFonts w:eastAsia="黑体"/>
                <w:sz w:val="24"/>
                <w:highlight w:val="none"/>
              </w:rPr>
            </w:pPr>
            <w:r>
              <w:rPr>
                <w:rFonts w:eastAsia="黑体"/>
                <w:sz w:val="24"/>
                <w:highlight w:val="none"/>
              </w:rPr>
              <w:t>（12）赎回资金划转日：指管理人将投资者要求全部</w:t>
            </w:r>
            <w:r>
              <w:rPr>
                <w:rFonts w:hint="eastAsia" w:eastAsia="黑体"/>
                <w:sz w:val="24"/>
                <w:highlight w:val="none"/>
              </w:rPr>
              <w:t>或部分</w:t>
            </w:r>
            <w:r>
              <w:rPr>
                <w:rFonts w:eastAsia="黑体"/>
                <w:sz w:val="24"/>
                <w:highlight w:val="none"/>
              </w:rPr>
              <w:t>赎回本理财产品份额对应的本金和收益</w:t>
            </w:r>
            <w:r>
              <w:rPr>
                <w:rFonts w:hint="eastAsia" w:eastAsia="黑体"/>
                <w:sz w:val="24"/>
                <w:highlight w:val="none"/>
              </w:rPr>
              <w:t>（如有）</w:t>
            </w:r>
            <w:r>
              <w:rPr>
                <w:rFonts w:eastAsia="黑体"/>
                <w:sz w:val="24"/>
                <w:highlight w:val="none"/>
              </w:rPr>
              <w:t>划转到投资者指定交易账户上的日期。</w:t>
            </w:r>
            <w:r>
              <w:rPr>
                <w:rFonts w:hint="eastAsia" w:ascii="黑体" w:hAnsi="黑体" w:eastAsia="黑体" w:cs="宋体"/>
                <w:sz w:val="24"/>
                <w:highlight w:val="none"/>
              </w:rPr>
              <w:t>本金的称谓仅为方便计算理财计划利益而创设的，并非对投资者投资本金不受损失的承诺（下同）。</w:t>
            </w:r>
          </w:p>
          <w:p>
            <w:pPr>
              <w:spacing w:line="380" w:lineRule="exact"/>
              <w:ind w:firstLine="122" w:firstLineChars="50"/>
              <w:rPr>
                <w:rFonts w:eastAsia="黑体"/>
                <w:sz w:val="24"/>
                <w:highlight w:val="none"/>
              </w:rPr>
            </w:pPr>
            <w:r>
              <w:rPr>
                <w:rFonts w:eastAsia="黑体"/>
                <w:color w:val="000000"/>
                <w:spacing w:val="2"/>
                <w:sz w:val="24"/>
                <w:highlight w:val="none"/>
                <w:lang w:val="zh-CN"/>
              </w:rPr>
              <w:t>（13）交易日</w:t>
            </w:r>
            <w:r>
              <w:rPr>
                <w:rFonts w:hint="eastAsia" w:eastAsia="黑体"/>
                <w:color w:val="000000"/>
                <w:spacing w:val="2"/>
                <w:sz w:val="24"/>
                <w:highlight w:val="none"/>
                <w:lang w:val="zh-CN"/>
              </w:rPr>
              <w:t>：</w:t>
            </w:r>
            <w:r>
              <w:rPr>
                <w:rFonts w:eastAsia="黑体"/>
                <w:color w:val="000000"/>
                <w:spacing w:val="2"/>
                <w:sz w:val="24"/>
                <w:highlight w:val="none"/>
                <w:lang w:val="zh-CN"/>
              </w:rPr>
              <w:t>指上海证券交易所和深圳证券交易所的正常开盘交易日。</w:t>
            </w:r>
          </w:p>
          <w:p>
            <w:pPr>
              <w:spacing w:line="380" w:lineRule="exact"/>
              <w:ind w:firstLine="122" w:firstLineChars="50"/>
              <w:rPr>
                <w:rFonts w:eastAsia="黑体"/>
                <w:sz w:val="24"/>
                <w:highlight w:val="none"/>
              </w:rPr>
            </w:pPr>
            <w:r>
              <w:rPr>
                <w:rFonts w:eastAsia="黑体"/>
                <w:color w:val="000000"/>
                <w:spacing w:val="2"/>
                <w:sz w:val="24"/>
                <w:highlight w:val="none"/>
                <w:lang w:val="zh-CN"/>
              </w:rPr>
              <w:t>（14）工作日</w:t>
            </w:r>
            <w:r>
              <w:rPr>
                <w:rFonts w:hint="eastAsia" w:eastAsia="黑体"/>
                <w:color w:val="000000"/>
                <w:spacing w:val="2"/>
                <w:sz w:val="24"/>
                <w:highlight w:val="none"/>
                <w:lang w:val="zh-CN"/>
              </w:rPr>
              <w:t>：</w:t>
            </w:r>
            <w:r>
              <w:rPr>
                <w:rFonts w:eastAsia="黑体"/>
                <w:color w:val="000000"/>
                <w:spacing w:val="2"/>
                <w:sz w:val="24"/>
                <w:highlight w:val="none"/>
                <w:lang w:val="zh-CN"/>
              </w:rPr>
              <w:t>指除中国法定节假日和公休日外的其他日。</w:t>
            </w:r>
          </w:p>
          <w:p>
            <w:pPr>
              <w:spacing w:line="380" w:lineRule="exact"/>
              <w:ind w:firstLine="122" w:firstLineChars="50"/>
              <w:rPr>
                <w:rFonts w:eastAsia="黑体"/>
                <w:sz w:val="24"/>
                <w:highlight w:val="none"/>
              </w:rPr>
            </w:pPr>
            <w:r>
              <w:rPr>
                <w:rFonts w:eastAsia="黑体"/>
                <w:color w:val="000000"/>
                <w:spacing w:val="2"/>
                <w:sz w:val="24"/>
                <w:highlight w:val="none"/>
                <w:lang w:val="zh-CN"/>
              </w:rPr>
              <w:t>（15）分配基准日</w:t>
            </w:r>
            <w:r>
              <w:rPr>
                <w:rFonts w:hint="eastAsia"/>
                <w:highlight w:val="none"/>
              </w:rPr>
              <w:t>：</w:t>
            </w:r>
            <w:r>
              <w:rPr>
                <w:rFonts w:eastAsia="黑体"/>
                <w:color w:val="000000"/>
                <w:spacing w:val="2"/>
                <w:sz w:val="24"/>
                <w:highlight w:val="none"/>
                <w:lang w:val="zh-CN"/>
              </w:rPr>
              <w:t>指产品管理人以该日日终理财产品份额净值计算并确定可供分配的投资期间理财利益的日期。</w:t>
            </w:r>
          </w:p>
          <w:p>
            <w:pPr>
              <w:spacing w:line="380" w:lineRule="exact"/>
              <w:ind w:firstLine="122" w:firstLineChars="50"/>
              <w:rPr>
                <w:rFonts w:eastAsia="黑体"/>
                <w:color w:val="000000"/>
                <w:spacing w:val="2"/>
                <w:sz w:val="24"/>
                <w:highlight w:val="none"/>
                <w:lang w:val="zh-CN"/>
              </w:rPr>
            </w:pPr>
            <w:r>
              <w:rPr>
                <w:rFonts w:eastAsia="黑体"/>
                <w:color w:val="000000"/>
                <w:spacing w:val="2"/>
                <w:sz w:val="24"/>
                <w:highlight w:val="none"/>
                <w:lang w:val="zh-CN"/>
              </w:rPr>
              <w:t>（16）分配日</w:t>
            </w:r>
            <w:r>
              <w:rPr>
                <w:rFonts w:hint="eastAsia" w:ascii="黑体" w:hAnsi="黑体" w:eastAsia="黑体"/>
                <w:b/>
                <w:bCs/>
                <w:color w:val="000000"/>
                <w:spacing w:val="2"/>
                <w:sz w:val="24"/>
                <w:highlight w:val="none"/>
              </w:rPr>
              <w:t>：</w:t>
            </w:r>
            <w:r>
              <w:rPr>
                <w:rFonts w:eastAsia="黑体"/>
                <w:color w:val="000000"/>
                <w:spacing w:val="2"/>
                <w:sz w:val="24"/>
                <w:highlight w:val="none"/>
                <w:lang w:val="zh-CN"/>
              </w:rPr>
              <w:t>指产品管理人向投资者进行理财产品利益分配的日期。</w:t>
            </w:r>
          </w:p>
          <w:p>
            <w:pPr>
              <w:spacing w:line="380" w:lineRule="exact"/>
              <w:ind w:firstLine="120" w:firstLineChars="50"/>
              <w:rPr>
                <w:rFonts w:eastAsia="黑体"/>
                <w:sz w:val="24"/>
                <w:highlight w:val="none"/>
              </w:rPr>
            </w:pPr>
            <w:r>
              <w:rPr>
                <w:rFonts w:eastAsia="黑体"/>
                <w:color w:val="000000"/>
                <w:sz w:val="24"/>
                <w:highlight w:val="none"/>
                <w:lang w:val="zh-CN"/>
              </w:rPr>
              <w:t>（17）理财产品份额净值：指理财产品份额的单位净值</w:t>
            </w:r>
            <w:r>
              <w:rPr>
                <w:rFonts w:hint="eastAsia" w:eastAsia="黑体"/>
                <w:color w:val="000000"/>
                <w:sz w:val="24"/>
                <w:highlight w:val="none"/>
                <w:lang w:val="zh-CN"/>
              </w:rPr>
              <w:t>，</w:t>
            </w:r>
            <w:r>
              <w:rPr>
                <w:rFonts w:eastAsia="黑体"/>
                <w:color w:val="000000"/>
                <w:sz w:val="24"/>
                <w:highlight w:val="none"/>
                <w:lang w:val="zh-CN"/>
              </w:rPr>
              <w:t>即每1份理财产品份额以人民币计价的价格。</w:t>
            </w:r>
          </w:p>
          <w:p>
            <w:pPr>
              <w:spacing w:line="380" w:lineRule="exact"/>
              <w:ind w:firstLine="125" w:firstLineChars="50"/>
              <w:rPr>
                <w:rFonts w:eastAsia="黑体"/>
                <w:sz w:val="24"/>
                <w:highlight w:val="none"/>
              </w:rPr>
            </w:pPr>
            <w:r>
              <w:rPr>
                <w:rFonts w:eastAsia="黑体"/>
                <w:color w:val="000000"/>
                <w:spacing w:val="5"/>
                <w:sz w:val="24"/>
                <w:highlight w:val="none"/>
                <w:lang w:val="zh-CN"/>
              </w:rPr>
              <w:t>（18）管理人/产品管理人：指</w:t>
            </w:r>
            <w:r>
              <w:rPr>
                <w:rFonts w:eastAsia="黑体"/>
                <w:kern w:val="0"/>
                <w:sz w:val="24"/>
                <w:highlight w:val="none"/>
                <w:lang w:bidi="ar"/>
              </w:rPr>
              <w:t>恒丰理财</w:t>
            </w:r>
            <w:r>
              <w:rPr>
                <w:rFonts w:eastAsia="黑体"/>
                <w:color w:val="000000"/>
                <w:spacing w:val="5"/>
                <w:sz w:val="24"/>
                <w:highlight w:val="none"/>
                <w:lang w:val="zh-CN"/>
              </w:rPr>
              <w:t>有限责任公司。</w:t>
            </w:r>
          </w:p>
          <w:p>
            <w:pPr>
              <w:spacing w:line="380" w:lineRule="exact"/>
              <w:ind w:firstLine="120" w:firstLineChars="50"/>
              <w:rPr>
                <w:rFonts w:eastAsia="黑体"/>
                <w:color w:val="000000"/>
                <w:sz w:val="24"/>
                <w:highlight w:val="none"/>
                <w:lang w:val="zh-CN"/>
              </w:rPr>
            </w:pPr>
            <w:r>
              <w:rPr>
                <w:rFonts w:eastAsia="黑体"/>
                <w:color w:val="000000"/>
                <w:sz w:val="24"/>
                <w:highlight w:val="none"/>
                <w:lang w:val="zh-CN"/>
              </w:rPr>
              <w:t>（19）代理销售机构：指与</w:t>
            </w:r>
            <w:r>
              <w:rPr>
                <w:rFonts w:eastAsia="黑体"/>
                <w:kern w:val="0"/>
                <w:sz w:val="24"/>
                <w:highlight w:val="none"/>
                <w:lang w:bidi="ar"/>
              </w:rPr>
              <w:t>恒丰理财</w:t>
            </w:r>
            <w:r>
              <w:rPr>
                <w:rFonts w:eastAsia="黑体"/>
                <w:color w:val="000000"/>
                <w:spacing w:val="5"/>
                <w:sz w:val="24"/>
                <w:highlight w:val="none"/>
                <w:lang w:val="zh-CN"/>
              </w:rPr>
              <w:t>有限责任公司</w:t>
            </w:r>
            <w:r>
              <w:rPr>
                <w:rFonts w:eastAsia="黑体"/>
                <w:color w:val="000000"/>
                <w:sz w:val="24"/>
                <w:highlight w:val="none"/>
                <w:lang w:val="zh-CN"/>
              </w:rPr>
              <w:t>签订相关协议</w:t>
            </w:r>
            <w:r>
              <w:rPr>
                <w:rFonts w:hint="eastAsia" w:eastAsia="黑体"/>
                <w:color w:val="000000"/>
                <w:sz w:val="24"/>
                <w:highlight w:val="none"/>
                <w:lang w:val="zh-CN"/>
              </w:rPr>
              <w:t>，</w:t>
            </w:r>
            <w:r>
              <w:rPr>
                <w:rFonts w:eastAsia="黑体"/>
                <w:color w:val="000000"/>
                <w:sz w:val="24"/>
                <w:highlight w:val="none"/>
                <w:lang w:val="zh-CN"/>
              </w:rPr>
              <w:t>提供包括理财产品宣传推广、投资者风险承受能力评估和投资者适当性管理、理财产品份额认购/申购/赎回、协助管理人与投资者订立理财产品</w:t>
            </w:r>
            <w:r>
              <w:rPr>
                <w:rFonts w:hint="eastAsia" w:eastAsia="黑体"/>
                <w:color w:val="000000"/>
                <w:sz w:val="24"/>
                <w:highlight w:val="none"/>
                <w:lang w:val="zh-CN"/>
              </w:rPr>
              <w:t>销售文件</w:t>
            </w:r>
            <w:r>
              <w:rPr>
                <w:rFonts w:eastAsia="黑体"/>
                <w:color w:val="000000"/>
                <w:sz w:val="24"/>
                <w:highlight w:val="none"/>
                <w:lang w:val="zh-CN"/>
              </w:rPr>
              <w:t>、协助管理人与投资者沟通及进行信息披露、接受投资者咨询和客户维护等销售服务的机构。</w:t>
            </w:r>
          </w:p>
          <w:p>
            <w:pPr>
              <w:spacing w:line="380" w:lineRule="exact"/>
              <w:ind w:firstLine="120" w:firstLineChars="50"/>
              <w:rPr>
                <w:rFonts w:eastAsia="黑体"/>
                <w:sz w:val="24"/>
                <w:highlight w:val="none"/>
              </w:rPr>
            </w:pPr>
            <w:r>
              <w:rPr>
                <w:rFonts w:hint="eastAsia" w:eastAsia="黑体"/>
                <w:sz w:val="24"/>
                <w:highlight w:val="none"/>
              </w:rPr>
              <w:t>（2</w:t>
            </w:r>
            <w:r>
              <w:rPr>
                <w:rFonts w:eastAsia="黑体"/>
                <w:sz w:val="24"/>
                <w:highlight w:val="none"/>
              </w:rPr>
              <w:t>0</w:t>
            </w:r>
            <w:r>
              <w:rPr>
                <w:rFonts w:hint="eastAsia" w:eastAsia="黑体"/>
                <w:sz w:val="24"/>
                <w:highlight w:val="none"/>
              </w:rPr>
              <w:t>）流动性受限资产：</w:t>
            </w:r>
            <w:r>
              <w:rPr>
                <w:rFonts w:ascii="黑体" w:hAnsi="黑体" w:eastAsia="黑体" w:cs="宋体"/>
                <w:sz w:val="24"/>
                <w:highlight w:val="none"/>
              </w:rPr>
              <w:t>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w:t>
            </w:r>
            <w:r>
              <w:rPr>
                <w:rFonts w:eastAsia="黑体"/>
                <w:sz w:val="24"/>
                <w:highlight w:val="none"/>
              </w:rPr>
              <w:t>的新股及非公开发行股票、资产支持证券（票据），因发行人债务违约无法进行转让或交易的债券和非金融企业债务融资工具，以及其他流动性受限资产。法律法规或监管机构另有规定的，从其规定</w:t>
            </w:r>
            <w:r>
              <w:rPr>
                <w:rFonts w:hint="eastAsia" w:eastAsia="黑体"/>
                <w:sz w:val="24"/>
                <w:highlight w:val="none"/>
              </w:rPr>
              <w:t>。</w:t>
            </w:r>
          </w:p>
          <w:p>
            <w:pPr>
              <w:spacing w:line="380" w:lineRule="exact"/>
              <w:ind w:firstLine="120" w:firstLineChars="50"/>
              <w:rPr>
                <w:rFonts w:eastAsia="黑体"/>
                <w:sz w:val="24"/>
                <w:highlight w:val="none"/>
              </w:rPr>
            </w:pPr>
            <w:r>
              <w:rPr>
                <w:rFonts w:hint="eastAsia" w:eastAsia="黑体"/>
                <w:sz w:val="24"/>
                <w:highlight w:val="none"/>
              </w:rPr>
              <w:t>（2</w:t>
            </w:r>
            <w:r>
              <w:rPr>
                <w:rFonts w:eastAsia="黑体"/>
                <w:sz w:val="24"/>
                <w:highlight w:val="none"/>
              </w:rPr>
              <w:t>1</w:t>
            </w:r>
            <w:r>
              <w:rPr>
                <w:rFonts w:hint="eastAsia" w:eastAsia="黑体"/>
                <w:sz w:val="24"/>
                <w:highlight w:val="none"/>
              </w:rPr>
              <w:t>）7个工作日可变现资产：</w:t>
            </w:r>
            <w:r>
              <w:rPr>
                <w:rFonts w:eastAsia="黑体"/>
                <w:sz w:val="24"/>
                <w:highlight w:val="none"/>
              </w:rPr>
              <w:t>指包括可在交易所、银行间市场正常交易的股票、债券、非金融企业债务融资工具、期货及期权合约以及同业存单，7个工作日内到期或可支取的买入返售、银行存款，7个工作日内能够确认收到的各类应收款项等</w:t>
            </w:r>
            <w:r>
              <w:rPr>
                <w:rFonts w:hint="eastAsia" w:eastAsia="黑体"/>
                <w:sz w:val="24"/>
                <w:highlight w:val="none"/>
              </w:rPr>
              <w:t>。</w:t>
            </w:r>
          </w:p>
          <w:p>
            <w:pPr>
              <w:pStyle w:val="2"/>
              <w:rPr>
                <w:highlight w:val="none"/>
              </w:rPr>
            </w:pPr>
          </w:p>
          <w:p>
            <w:pPr>
              <w:widowControl/>
              <w:spacing w:line="380" w:lineRule="atLeast"/>
              <w:ind w:firstLine="420"/>
              <w:rPr>
                <w:rFonts w:eastAsia="黑体"/>
                <w:sz w:val="24"/>
                <w:highlight w:val="none"/>
              </w:rPr>
            </w:pPr>
            <w:r>
              <w:rPr>
                <w:rFonts w:eastAsia="黑体"/>
                <w:b/>
                <w:color w:val="000000"/>
                <w:sz w:val="24"/>
                <w:highlight w:val="none"/>
                <w:lang w:val="zh-CN"/>
              </w:rPr>
              <w:t>代理销售机构受理</w:t>
            </w:r>
            <w:r>
              <w:rPr>
                <w:rFonts w:hint="eastAsia" w:eastAsia="黑体"/>
                <w:b/>
                <w:color w:val="000000"/>
                <w:sz w:val="24"/>
                <w:highlight w:val="none"/>
                <w:lang w:val="zh-CN"/>
              </w:rPr>
              <w:t>认购</w:t>
            </w:r>
            <w:r>
              <w:rPr>
                <w:rFonts w:hint="eastAsia" w:ascii="黑体" w:hAnsi="黑体" w:eastAsia="黑体" w:cs="宋体"/>
                <w:b/>
                <w:sz w:val="24"/>
                <w:highlight w:val="none"/>
              </w:rPr>
              <w:t>、申购</w:t>
            </w:r>
            <w:r>
              <w:rPr>
                <w:rFonts w:ascii="黑体" w:hAnsi="黑体" w:eastAsia="黑体"/>
                <w:b/>
                <w:sz w:val="24"/>
                <w:highlight w:val="none"/>
              </w:rPr>
              <w:t>/</w:t>
            </w:r>
            <w:r>
              <w:rPr>
                <w:rFonts w:hint="eastAsia" w:ascii="黑体" w:hAnsi="黑体" w:eastAsia="黑体" w:cs="宋体"/>
                <w:b/>
                <w:sz w:val="24"/>
                <w:highlight w:val="none"/>
              </w:rPr>
              <w:t>赎回</w:t>
            </w:r>
            <w:r>
              <w:rPr>
                <w:rFonts w:eastAsia="黑体"/>
                <w:b/>
                <w:color w:val="000000"/>
                <w:sz w:val="24"/>
                <w:highlight w:val="none"/>
                <w:lang w:val="zh-CN"/>
              </w:rPr>
              <w:t>申请并不表示该申请成功的确认</w:t>
            </w:r>
            <w:r>
              <w:rPr>
                <w:rFonts w:hint="eastAsia" w:eastAsia="黑体"/>
                <w:b/>
                <w:color w:val="000000"/>
                <w:sz w:val="24"/>
                <w:highlight w:val="none"/>
                <w:lang w:val="zh-CN"/>
              </w:rPr>
              <w:t>，</w:t>
            </w:r>
            <w:r>
              <w:rPr>
                <w:rFonts w:eastAsia="黑体"/>
                <w:b/>
                <w:color w:val="000000"/>
                <w:sz w:val="24"/>
                <w:highlight w:val="none"/>
                <w:lang w:val="zh-CN"/>
              </w:rPr>
              <w:t>而仅代表代理销售机构收到了</w:t>
            </w:r>
            <w:r>
              <w:rPr>
                <w:rFonts w:hint="eastAsia" w:eastAsia="黑体"/>
                <w:b/>
                <w:color w:val="000000"/>
                <w:sz w:val="24"/>
                <w:highlight w:val="none"/>
                <w:lang w:val="zh-CN"/>
              </w:rPr>
              <w:t>认购</w:t>
            </w:r>
            <w:r>
              <w:rPr>
                <w:rFonts w:hint="eastAsia" w:ascii="黑体" w:hAnsi="黑体" w:eastAsia="黑体" w:cs="宋体"/>
                <w:b/>
                <w:sz w:val="24"/>
                <w:highlight w:val="none"/>
              </w:rPr>
              <w:t>、申购</w:t>
            </w:r>
            <w:r>
              <w:rPr>
                <w:rFonts w:ascii="黑体" w:hAnsi="黑体" w:eastAsia="黑体"/>
                <w:b/>
                <w:sz w:val="24"/>
                <w:highlight w:val="none"/>
              </w:rPr>
              <w:t>/</w:t>
            </w:r>
            <w:r>
              <w:rPr>
                <w:rFonts w:hint="eastAsia" w:ascii="黑体" w:hAnsi="黑体" w:eastAsia="黑体" w:cs="宋体"/>
                <w:b/>
                <w:sz w:val="24"/>
                <w:highlight w:val="none"/>
              </w:rPr>
              <w:t>赎回</w:t>
            </w:r>
            <w:r>
              <w:rPr>
                <w:rFonts w:eastAsia="黑体"/>
                <w:b/>
                <w:color w:val="000000"/>
                <w:sz w:val="24"/>
                <w:highlight w:val="none"/>
                <w:lang w:val="zh-CN"/>
              </w:rPr>
              <w:t>申请</w:t>
            </w:r>
            <w:r>
              <w:rPr>
                <w:rFonts w:hint="eastAsia" w:eastAsia="黑体"/>
                <w:b/>
                <w:color w:val="000000"/>
                <w:sz w:val="24"/>
                <w:highlight w:val="none"/>
                <w:lang w:val="zh-CN"/>
              </w:rPr>
              <w:t>，</w:t>
            </w:r>
            <w:r>
              <w:rPr>
                <w:rFonts w:eastAsia="黑体"/>
                <w:b/>
                <w:color w:val="000000"/>
                <w:sz w:val="24"/>
                <w:highlight w:val="none"/>
                <w:lang w:val="zh-CN"/>
              </w:rPr>
              <w:t>申请是否有效应以恒丰理财的确认</w:t>
            </w:r>
            <w:r>
              <w:rPr>
                <w:rFonts w:hint="eastAsia" w:eastAsia="黑体"/>
                <w:b/>
                <w:color w:val="000000"/>
                <w:sz w:val="24"/>
                <w:highlight w:val="none"/>
                <w:lang w:val="zh-CN"/>
              </w:rPr>
              <w:t>结果</w:t>
            </w:r>
            <w:r>
              <w:rPr>
                <w:rFonts w:eastAsia="黑体"/>
                <w:b/>
                <w:color w:val="000000"/>
                <w:sz w:val="24"/>
                <w:highlight w:val="none"/>
                <w:lang w:val="zh-CN"/>
              </w:rPr>
              <w:t>为准。</w:t>
            </w:r>
          </w:p>
          <w:p>
            <w:pPr>
              <w:widowControl/>
              <w:spacing w:line="380" w:lineRule="atLeast"/>
              <w:ind w:firstLine="420"/>
              <w:rPr>
                <w:b/>
                <w:bCs/>
                <w:color w:val="000000"/>
                <w:kern w:val="0"/>
                <w:highlight w:val="none"/>
              </w:rPr>
            </w:pPr>
            <w:r>
              <w:rPr>
                <w:rFonts w:hint="eastAsia"/>
                <w:b/>
                <w:bCs/>
                <w:color w:val="000000"/>
                <w:kern w:val="0"/>
                <w:highlight w:val="none"/>
              </w:rPr>
              <w:t>★</w:t>
            </w:r>
            <w:r>
              <w:rPr>
                <w:b/>
                <w:bCs/>
                <w:color w:val="000000"/>
                <w:kern w:val="0"/>
                <w:highlight w:val="none"/>
              </w:rPr>
              <w:t>注：关于代理销售机构的实际工作服务时段的提示</w:t>
            </w:r>
          </w:p>
          <w:p>
            <w:pPr>
              <w:widowControl/>
              <w:spacing w:line="380" w:lineRule="atLeast"/>
              <w:ind w:firstLine="420"/>
              <w:rPr>
                <w:b/>
                <w:bCs/>
                <w:color w:val="000000"/>
                <w:kern w:val="0"/>
                <w:highlight w:val="none"/>
              </w:rPr>
            </w:pPr>
            <w:r>
              <w:rPr>
                <w:rFonts w:hint="eastAsia"/>
                <w:b/>
                <w:bCs/>
                <w:color w:val="000000"/>
                <w:kern w:val="0"/>
                <w:highlight w:val="none"/>
              </w:rPr>
              <w:t>①为本产品办理相关交易的实际工作服务时段，因代理销售机构的不同可能存在差异（可能晚于理财产品销售文件约定的起始时点开始或早于理财产品销售文件约定的终止时点结束），投资者应当以代理销售机构的展示为准。</w:t>
            </w:r>
          </w:p>
          <w:p>
            <w:pPr>
              <w:widowControl/>
              <w:spacing w:line="380" w:lineRule="atLeast"/>
              <w:ind w:firstLine="420"/>
              <w:rPr>
                <w:b/>
                <w:bCs/>
                <w:color w:val="000000"/>
                <w:kern w:val="0"/>
                <w:highlight w:val="none"/>
              </w:rPr>
            </w:pPr>
            <w:r>
              <w:rPr>
                <w:rFonts w:hint="eastAsia"/>
                <w:b/>
                <w:bCs/>
                <w:color w:val="000000"/>
                <w:kern w:val="0"/>
                <w:highlight w:val="none"/>
              </w:rPr>
              <w:t>②代理销售机构的实际工作服务时段，最早不得早于理财产品销售文件约定的起始时点、最晚不得晚于理财产品销售文件约定的终止时点。</w:t>
            </w:r>
          </w:p>
          <w:p>
            <w:pPr>
              <w:pStyle w:val="12"/>
              <w:spacing w:line="380" w:lineRule="exact"/>
              <w:rPr>
                <w:rFonts w:ascii="Times New Roman" w:hAnsi="Times New Roman"/>
                <w:highlight w:val="none"/>
              </w:rPr>
            </w:pPr>
          </w:p>
        </w:tc>
      </w:tr>
    </w:tbl>
    <w:p>
      <w:pPr>
        <w:contextualSpacing/>
        <w:rPr>
          <w:rFonts w:eastAsia="黑体"/>
          <w:b/>
          <w:sz w:val="28"/>
          <w:szCs w:val="28"/>
          <w:highlight w:val="none"/>
        </w:rPr>
      </w:pPr>
    </w:p>
    <w:p>
      <w:pPr>
        <w:contextualSpacing/>
        <w:rPr>
          <w:rFonts w:eastAsia="黑体"/>
          <w:b/>
          <w:sz w:val="28"/>
          <w:szCs w:val="28"/>
          <w:highlight w:val="none"/>
        </w:rPr>
      </w:pPr>
    </w:p>
    <w:p>
      <w:pPr>
        <w:contextualSpacing/>
        <w:rPr>
          <w:rFonts w:eastAsia="黑体"/>
          <w:b/>
          <w:sz w:val="28"/>
          <w:szCs w:val="28"/>
          <w:highlight w:val="none"/>
        </w:rPr>
      </w:pPr>
    </w:p>
    <w:p>
      <w:pPr>
        <w:contextualSpacing/>
        <w:rPr>
          <w:rFonts w:eastAsia="黑体"/>
          <w:b/>
          <w:sz w:val="28"/>
          <w:szCs w:val="28"/>
          <w:highlight w:val="none"/>
        </w:rPr>
      </w:pPr>
    </w:p>
    <w:p>
      <w:pPr>
        <w:contextualSpacing/>
        <w:rPr>
          <w:rFonts w:eastAsia="黑体"/>
          <w:b/>
          <w:sz w:val="28"/>
          <w:szCs w:val="28"/>
          <w:highlight w:val="none"/>
        </w:rPr>
      </w:pPr>
      <w:r>
        <w:rPr>
          <w:rFonts w:eastAsia="黑体"/>
          <w:b/>
          <w:sz w:val="28"/>
          <w:szCs w:val="28"/>
          <w:highlight w:val="none"/>
        </w:rPr>
        <w:br w:type="page"/>
      </w:r>
    </w:p>
    <w:p>
      <w:pPr>
        <w:spacing w:line="360" w:lineRule="auto"/>
        <w:ind w:firstLine="422" w:firstLineChars="200"/>
        <w:outlineLvl w:val="1"/>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一、产品概述</w:t>
      </w:r>
    </w:p>
    <w:p>
      <w:pPr>
        <w:pStyle w:val="2"/>
        <w:spacing w:line="120" w:lineRule="auto"/>
        <w:rPr>
          <w:sz w:val="18"/>
          <w:szCs w:val="18"/>
          <w:highlight w:val="none"/>
        </w:rPr>
      </w:pPr>
    </w:p>
    <w:tbl>
      <w:tblPr>
        <w:tblStyle w:val="8"/>
        <w:tblpPr w:leftFromText="180" w:rightFromText="180" w:vertAnchor="text" w:horzAnchor="margin" w:tblpXSpec="center" w:tblpY="102"/>
        <w:tblOverlap w:val="never"/>
        <w:tblW w:w="9644"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1937"/>
        <w:gridCol w:w="770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54" w:hRule="atLeast"/>
        </w:trPr>
        <w:tc>
          <w:tcPr>
            <w:tcW w:w="1937" w:type="dxa"/>
            <w:tcBorders>
              <w:top w:val="single" w:color="auto" w:sz="4" w:space="0"/>
            </w:tcBorders>
            <w:vAlign w:val="center"/>
          </w:tcPr>
          <w:p>
            <w:pPr>
              <w:jc w:val="center"/>
              <w:rPr>
                <w:rFonts w:ascii="??_GB2312" w:eastAsia="Times New Roman"/>
                <w:b/>
                <w:highlight w:val="none"/>
              </w:rPr>
            </w:pPr>
            <w:r>
              <w:rPr>
                <w:rFonts w:ascii="??_GB2312" w:eastAsia="Times New Roman"/>
                <w:b/>
                <w:highlight w:val="none"/>
              </w:rPr>
              <w:t>名称</w:t>
            </w:r>
          </w:p>
        </w:tc>
        <w:tc>
          <w:tcPr>
            <w:tcW w:w="7707" w:type="dxa"/>
            <w:tcBorders>
              <w:top w:val="single" w:color="auto" w:sz="4" w:space="0"/>
            </w:tcBorders>
            <w:vAlign w:val="center"/>
          </w:tcPr>
          <w:p>
            <w:pPr>
              <w:widowControl/>
              <w:spacing w:line="273" w:lineRule="atLeast"/>
              <w:ind w:firstLine="420"/>
              <w:jc w:val="left"/>
              <w:rPr>
                <w:rFonts w:hint="eastAsia"/>
              </w:rPr>
            </w:pPr>
            <w:r>
              <w:rPr>
                <w:rFonts w:hint="eastAsia"/>
                <w:lang w:val="en-US" w:eastAsia="zh-CN"/>
              </w:rPr>
              <w:t>名称：</w:t>
            </w:r>
            <w:r>
              <w:rPr>
                <w:rFonts w:hint="eastAsia"/>
              </w:rPr>
              <w:t>【</w:t>
            </w:r>
            <w:r>
              <w:rPr>
                <w:rFonts w:hint="eastAsia" w:ascii="宋体" w:hAnsi="宋体" w:eastAsia="宋体" w:cs="宋体"/>
                <w:kern w:val="0"/>
                <w:sz w:val="21"/>
                <w:szCs w:val="21"/>
                <w:lang w:val="en-US" w:eastAsia="zh-CN" w:bidi="ar"/>
              </w:rPr>
              <w:t>恒丰理财恒仁新恒梦钱包</w:t>
            </w:r>
            <w:r>
              <w:rPr>
                <w:rFonts w:hint="eastAsia"/>
              </w:rPr>
              <w:t>】</w:t>
            </w:r>
          </w:p>
          <w:p>
            <w:pPr>
              <w:spacing w:line="312" w:lineRule="auto"/>
              <w:ind w:firstLine="420" w:firstLineChars="200"/>
              <w:jc w:val="left"/>
              <w:rPr>
                <w:rFonts w:ascii="Times New Roman" w:hAnsi="Times New Roman" w:cs="Times New Roman" w:eastAsiaTheme="minorEastAsia"/>
                <w:kern w:val="0"/>
                <w:szCs w:val="21"/>
                <w:highlight w:val="none"/>
                <w:lang w:bidi="ar"/>
              </w:rPr>
            </w:pPr>
            <w:r>
              <w:rPr>
                <w:rFonts w:hint="eastAsia"/>
                <w:sz w:val="21"/>
                <w:szCs w:val="24"/>
                <w:lang w:val="en-US" w:eastAsia="zh-CN"/>
              </w:rPr>
              <w:t>简称：</w:t>
            </w:r>
            <w:r>
              <w:rPr>
                <w:rFonts w:hint="eastAsia"/>
                <w:sz w:val="21"/>
                <w:szCs w:val="24"/>
              </w:rPr>
              <w:t>【</w:t>
            </w:r>
            <w:r>
              <w:rPr>
                <w:rFonts w:hint="eastAsia"/>
                <w:sz w:val="21"/>
                <w:szCs w:val="24"/>
                <w:lang w:val="en-US" w:eastAsia="zh-CN"/>
              </w:rPr>
              <w:t>新恒梦钱包1号</w:t>
            </w:r>
            <w:r>
              <w:rPr>
                <w:rFonts w:hint="eastAsia"/>
                <w:sz w:val="21"/>
                <w:szCs w:val="24"/>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54" w:hRule="atLeast"/>
        </w:trPr>
        <w:tc>
          <w:tcPr>
            <w:tcW w:w="1937" w:type="dxa"/>
            <w:vAlign w:val="center"/>
          </w:tcPr>
          <w:p>
            <w:pPr>
              <w:jc w:val="center"/>
              <w:rPr>
                <w:rFonts w:ascii="??_GB2312"/>
                <w:b/>
                <w:highlight w:val="none"/>
              </w:rPr>
            </w:pPr>
            <w:r>
              <w:rPr>
                <w:rFonts w:hint="eastAsia" w:ascii="??_GB2312"/>
                <w:b/>
                <w:highlight w:val="none"/>
              </w:rPr>
              <w:t>产品</w:t>
            </w:r>
            <w:r>
              <w:rPr>
                <w:rFonts w:ascii="??_GB2312"/>
                <w:b/>
                <w:highlight w:val="none"/>
              </w:rPr>
              <w:t>代码</w:t>
            </w:r>
          </w:p>
        </w:tc>
        <w:tc>
          <w:tcPr>
            <w:tcW w:w="7707" w:type="dxa"/>
            <w:vAlign w:val="center"/>
          </w:tcPr>
          <w:p>
            <w:pPr>
              <w:spacing w:line="312" w:lineRule="auto"/>
              <w:ind w:firstLine="422" w:firstLineChars="200"/>
              <w:jc w:val="left"/>
              <w:rPr>
                <w:rFonts w:ascii="Times New Roman" w:hAnsi="Times New Roman" w:cs="Times New Roman" w:eastAsiaTheme="minorEastAsia"/>
                <w:b/>
                <w:bCs/>
                <w:kern w:val="0"/>
                <w:szCs w:val="21"/>
                <w:highlight w:val="none"/>
                <w:lang w:bidi="ar"/>
              </w:rPr>
            </w:pPr>
            <w:r>
              <w:rPr>
                <w:rFonts w:hint="default" w:ascii="Times New Roman" w:hAnsi="Times New Roman" w:cs="Times New Roman" w:eastAsiaTheme="minorEastAsia"/>
                <w:b/>
                <w:bCs/>
                <w:kern w:val="0"/>
                <w:szCs w:val="21"/>
                <w:highlight w:val="none"/>
                <w:lang w:bidi="ar"/>
              </w:rPr>
              <w:t>【</w:t>
            </w:r>
            <w:r>
              <w:rPr>
                <w:rFonts w:hint="default" w:ascii="Times New Roman" w:hAnsi="Times New Roman" w:cs="Times New Roman" w:eastAsiaTheme="minorEastAsia"/>
                <w:b/>
                <w:bCs/>
                <w:kern w:val="0"/>
                <w:sz w:val="21"/>
                <w:szCs w:val="21"/>
                <w:highlight w:val="none"/>
                <w:lang w:val="en-US" w:eastAsia="zh-CN" w:bidi="ar"/>
              </w:rPr>
              <w:t>TTY22001</w:t>
            </w:r>
            <w:r>
              <w:rPr>
                <w:rFonts w:hint="default" w:ascii="Times New Roman" w:hAnsi="Times New Roman" w:cs="Times New Roman" w:eastAsiaTheme="minorEastAsia"/>
                <w:b/>
                <w:bCs/>
                <w:kern w:val="0"/>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096" w:hRule="atLeast"/>
        </w:trPr>
        <w:tc>
          <w:tcPr>
            <w:tcW w:w="1937" w:type="dxa"/>
            <w:vAlign w:val="center"/>
          </w:tcPr>
          <w:p>
            <w:pPr>
              <w:widowControl/>
              <w:spacing w:line="315" w:lineRule="atLeast"/>
              <w:jc w:val="center"/>
              <w:rPr>
                <w:rFonts w:ascii="??_GB2312"/>
                <w:b/>
                <w:highlight w:val="none"/>
              </w:rPr>
            </w:pPr>
            <w:r>
              <w:rPr>
                <w:rFonts w:hint="eastAsia" w:ascii="宋体" w:hAnsi="宋体" w:cs="宋体"/>
                <w:b/>
                <w:kern w:val="0"/>
                <w:szCs w:val="21"/>
                <w:highlight w:val="none"/>
              </w:rPr>
              <w:t>理财产品登记编码</w:t>
            </w:r>
          </w:p>
        </w:tc>
        <w:tc>
          <w:tcPr>
            <w:tcW w:w="7707" w:type="dxa"/>
            <w:vAlign w:val="center"/>
          </w:tcPr>
          <w:p>
            <w:pPr>
              <w:spacing w:line="312" w:lineRule="auto"/>
              <w:ind w:firstLine="420" w:firstLineChars="200"/>
              <w:jc w:val="left"/>
              <w:rPr>
                <w:rFonts w:ascii="Times New Roman" w:hAnsi="Times New Roman" w:cs="Times New Roman" w:eastAsiaTheme="minorEastAsia"/>
                <w:kern w:val="0"/>
                <w:szCs w:val="21"/>
                <w:highlight w:val="none"/>
                <w:lang w:bidi="ar"/>
              </w:rPr>
            </w:pPr>
            <w:r>
              <w:rPr>
                <w:rFonts w:ascii="Times New Roman" w:hAnsi="Times New Roman" w:cs="Times New Roman" w:eastAsiaTheme="minorEastAsia"/>
                <w:kern w:val="0"/>
                <w:szCs w:val="21"/>
                <w:highlight w:val="none"/>
                <w:lang w:bidi="ar"/>
              </w:rPr>
              <w:t>理财产品登记编码：</w:t>
            </w:r>
          </w:p>
          <w:p>
            <w:pPr>
              <w:spacing w:line="312" w:lineRule="auto"/>
              <w:ind w:firstLine="422" w:firstLineChars="200"/>
              <w:jc w:val="left"/>
              <w:rPr>
                <w:rFonts w:ascii="Times New Roman" w:hAnsi="Times New Roman" w:cs="Times New Roman" w:eastAsiaTheme="minorEastAsia"/>
                <w:b/>
                <w:bCs/>
                <w:kern w:val="0"/>
                <w:szCs w:val="21"/>
                <w:highlight w:val="none"/>
                <w:lang w:bidi="ar"/>
              </w:rPr>
            </w:pPr>
            <w:r>
              <w:rPr>
                <w:rFonts w:ascii="Times New Roman" w:hAnsi="Times New Roman" w:cs="Times New Roman" w:eastAsiaTheme="minorEastAsia"/>
                <w:b/>
                <w:bCs/>
                <w:kern w:val="0"/>
                <w:szCs w:val="21"/>
                <w:highlight w:val="none"/>
                <w:lang w:bidi="ar"/>
              </w:rPr>
              <w:t>【</w:t>
            </w:r>
            <w:r>
              <w:rPr>
                <w:rFonts w:hint="default" w:eastAsiaTheme="minorEastAsia"/>
                <w:b/>
                <w:bCs/>
                <w:kern w:val="0"/>
                <w:szCs w:val="21"/>
                <w:highlight w:val="none"/>
                <w:lang w:bidi="ar"/>
              </w:rPr>
              <w:t>Z7008122000012</w:t>
            </w:r>
            <w:r>
              <w:rPr>
                <w:rFonts w:ascii="Times New Roman" w:hAnsi="Times New Roman" w:cs="Times New Roman" w:eastAsiaTheme="minorEastAsia"/>
                <w:b/>
                <w:bCs/>
                <w:kern w:val="0"/>
                <w:szCs w:val="21"/>
                <w:highlight w:val="none"/>
                <w:lang w:bidi="ar"/>
              </w:rPr>
              <w:t>】</w:t>
            </w:r>
          </w:p>
          <w:p>
            <w:pPr>
              <w:spacing w:line="312" w:lineRule="auto"/>
              <w:ind w:firstLine="420" w:firstLineChars="200"/>
              <w:jc w:val="left"/>
              <w:rPr>
                <w:rFonts w:ascii="Times New Roman" w:hAnsi="Times New Roman" w:cs="Times New Roman"/>
                <w:highlight w:val="none"/>
              </w:rPr>
            </w:pPr>
            <w:r>
              <w:rPr>
                <w:rFonts w:hint="default" w:ascii="Times New Roman" w:hAnsi="Times New Roman" w:cs="Times New Roman" w:eastAsiaTheme="minorEastAsia"/>
                <w:kern w:val="0"/>
                <w:szCs w:val="21"/>
                <w:highlight w:val="none"/>
                <w:lang w:bidi="ar"/>
              </w:rPr>
              <w:t>投资者可依据该编码，在中国理财网（www.chinawealth.com.cn）查询产品信息。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54" w:hRule="atLeast"/>
        </w:trPr>
        <w:tc>
          <w:tcPr>
            <w:tcW w:w="1937" w:type="dxa"/>
            <w:vAlign w:val="center"/>
          </w:tcPr>
          <w:p>
            <w:pPr>
              <w:widowControl/>
              <w:spacing w:line="315" w:lineRule="atLeast"/>
              <w:jc w:val="center"/>
              <w:rPr>
                <w:b/>
                <w:bCs/>
                <w:kern w:val="0"/>
                <w:highlight w:val="none"/>
              </w:rPr>
            </w:pPr>
            <w:r>
              <w:rPr>
                <w:rFonts w:hint="eastAsia"/>
                <w:b/>
                <w:bCs/>
                <w:kern w:val="0"/>
                <w:highlight w:val="none"/>
              </w:rPr>
              <w:t>产品类型</w:t>
            </w:r>
          </w:p>
        </w:tc>
        <w:tc>
          <w:tcPr>
            <w:tcW w:w="7707" w:type="dxa"/>
            <w:vAlign w:val="center"/>
          </w:tcPr>
          <w:p>
            <w:pPr>
              <w:widowControl/>
              <w:spacing w:line="273" w:lineRule="atLeast"/>
              <w:ind w:firstLine="420"/>
              <w:jc w:val="left"/>
              <w:rPr>
                <w:rFonts w:ascii="Times New Roman" w:hAnsi="Times New Roman" w:cs="Times New Roman"/>
                <w:kern w:val="0"/>
                <w:highlight w:val="none"/>
              </w:rPr>
            </w:pPr>
            <w:r>
              <w:rPr>
                <w:rFonts w:hint="default" w:ascii="Times New Roman" w:hAnsi="Times New Roman" w:cs="Times New Roman"/>
                <w:kern w:val="0"/>
                <w:highlight w:val="none"/>
              </w:rPr>
              <w:t>【公募】、【固定收益类】、【开放式】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893" w:hRule="atLeast"/>
        </w:trPr>
        <w:tc>
          <w:tcPr>
            <w:tcW w:w="1937" w:type="dxa"/>
            <w:vAlign w:val="center"/>
          </w:tcPr>
          <w:p>
            <w:pPr>
              <w:widowControl/>
              <w:spacing w:line="315" w:lineRule="atLeast"/>
              <w:jc w:val="center"/>
              <w:rPr>
                <w:highlight w:val="none"/>
              </w:rPr>
            </w:pPr>
            <w:r>
              <w:rPr>
                <w:rFonts w:hint="eastAsia"/>
                <w:b/>
                <w:bCs/>
                <w:kern w:val="0"/>
                <w:highlight w:val="none"/>
              </w:rPr>
              <w:t>风险评级</w:t>
            </w:r>
          </w:p>
        </w:tc>
        <w:tc>
          <w:tcPr>
            <w:tcW w:w="7707" w:type="dxa"/>
          </w:tcPr>
          <w:p>
            <w:pPr>
              <w:spacing w:line="288" w:lineRule="auto"/>
              <w:ind w:firstLine="420" w:firstLineChars="200"/>
              <w:jc w:val="left"/>
              <w:rPr>
                <w:rFonts w:ascii="Times New Roman" w:hAnsi="Times New Roman" w:cs="Times New Roman"/>
                <w:szCs w:val="21"/>
                <w:highlight w:val="none"/>
                <w:lang w:bidi="ar"/>
              </w:rPr>
            </w:pPr>
            <w:r>
              <w:rPr>
                <w:rFonts w:hint="default" w:ascii="Times New Roman" w:hAnsi="Times New Roman" w:cs="Times New Roman"/>
                <w:szCs w:val="21"/>
                <w:highlight w:val="none"/>
                <w:lang w:bidi="ar"/>
              </w:rPr>
              <w:t>【</w:t>
            </w:r>
            <w:r>
              <w:rPr>
                <w:rFonts w:hint="default" w:ascii="Times New Roman" w:hAnsi="Times New Roman" w:cs="Times New Roman" w:eastAsiaTheme="minorEastAsia"/>
                <w:b/>
                <w:bCs/>
                <w:kern w:val="0"/>
                <w:szCs w:val="21"/>
                <w:highlight w:val="none"/>
                <w:lang w:val="en-US" w:eastAsia="zh-CN" w:bidi="ar"/>
              </w:rPr>
              <w:t>低风险（R1）</w:t>
            </w:r>
            <w:r>
              <w:rPr>
                <w:rFonts w:hint="default" w:ascii="Times New Roman" w:hAnsi="Times New Roman" w:cs="Times New Roman"/>
                <w:szCs w:val="21"/>
                <w:highlight w:val="none"/>
                <w:lang w:bidi="ar"/>
              </w:rPr>
              <w:t>】。产品的风险评级为恒丰理财有限责任公司内部评级，仅供参考。</w:t>
            </w:r>
          </w:p>
          <w:p>
            <w:pPr>
              <w:spacing w:line="288" w:lineRule="auto"/>
              <w:ind w:firstLine="422" w:firstLineChars="200"/>
              <w:jc w:val="left"/>
              <w:rPr>
                <w:rFonts w:ascii="Times New Roman" w:hAnsi="Times New Roman" w:cs="Times New Roman"/>
                <w:highlight w:val="none"/>
              </w:rPr>
            </w:pPr>
            <w:r>
              <w:rPr>
                <w:rFonts w:hint="default" w:ascii="Times New Roman" w:hAnsi="Times New Roman" w:cs="Times New Roman"/>
                <w:b/>
                <w:bCs/>
                <w:szCs w:val="21"/>
                <w:highlight w:val="none"/>
                <w:lang w:bidi="ar"/>
              </w:rPr>
              <w:t>该理财产品通过代理销售机构渠道销售的，理财产品评级应当以代理销售机构最终披露的评级结果为准。代理销售机构销售评级与恒丰理财不一致的，应当采用对应较高风险等级的评级结果。</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54" w:hRule="atLeast"/>
        </w:trPr>
        <w:tc>
          <w:tcPr>
            <w:tcW w:w="1937" w:type="dxa"/>
            <w:vAlign w:val="center"/>
          </w:tcPr>
          <w:p>
            <w:pPr>
              <w:widowControl/>
              <w:spacing w:line="315" w:lineRule="atLeast"/>
              <w:jc w:val="center"/>
              <w:rPr>
                <w:b/>
                <w:bCs/>
                <w:kern w:val="0"/>
                <w:highlight w:val="none"/>
              </w:rPr>
            </w:pPr>
            <w:r>
              <w:rPr>
                <w:rFonts w:hint="eastAsia"/>
                <w:b/>
                <w:bCs/>
                <w:kern w:val="0"/>
                <w:highlight w:val="none"/>
              </w:rPr>
              <w:t>发行对象</w:t>
            </w:r>
          </w:p>
        </w:tc>
        <w:tc>
          <w:tcPr>
            <w:tcW w:w="7707" w:type="dxa"/>
          </w:tcPr>
          <w:p>
            <w:pPr>
              <w:spacing w:line="288" w:lineRule="auto"/>
              <w:ind w:firstLine="422" w:firstLineChars="200"/>
              <w:jc w:val="left"/>
              <w:rPr>
                <w:b/>
                <w:highlight w:val="none"/>
                <w:lang w:bidi="ar"/>
              </w:rPr>
            </w:pPr>
            <w:r>
              <w:rPr>
                <w:rFonts w:hint="eastAsia"/>
                <w:b/>
                <w:highlight w:val="none"/>
                <w:lang w:bidi="ar"/>
              </w:rPr>
              <w:t>适合【保守型</w:t>
            </w:r>
            <w:r>
              <w:rPr>
                <w:rFonts w:hint="eastAsia"/>
                <w:b/>
                <w:highlight w:val="none"/>
                <w:lang w:eastAsia="zh-CN" w:bidi="ar"/>
              </w:rPr>
              <w:t>、</w:t>
            </w:r>
            <w:r>
              <w:rPr>
                <w:rFonts w:hint="eastAsia"/>
                <w:b/>
                <w:highlight w:val="none"/>
                <w:lang w:bidi="ar"/>
              </w:rPr>
              <w:t>谨慎型</w:t>
            </w:r>
            <w:r>
              <w:rPr>
                <w:rFonts w:hint="eastAsia"/>
                <w:b/>
                <w:highlight w:val="none"/>
                <w:lang w:eastAsia="zh-CN" w:bidi="ar"/>
              </w:rPr>
              <w:t>、</w:t>
            </w:r>
            <w:r>
              <w:rPr>
                <w:rFonts w:hint="eastAsia"/>
                <w:b/>
                <w:highlight w:val="none"/>
                <w:lang w:bidi="ar"/>
              </w:rPr>
              <w:t>稳健型</w:t>
            </w:r>
            <w:r>
              <w:rPr>
                <w:rFonts w:hint="eastAsia"/>
                <w:b/>
                <w:highlight w:val="none"/>
                <w:lang w:eastAsia="zh-CN" w:bidi="ar"/>
              </w:rPr>
              <w:t>、</w:t>
            </w:r>
            <w:r>
              <w:rPr>
                <w:rFonts w:hint="eastAsia"/>
                <w:b/>
                <w:highlight w:val="none"/>
                <w:lang w:bidi="ar"/>
              </w:rPr>
              <w:t>进取型</w:t>
            </w:r>
            <w:r>
              <w:rPr>
                <w:rFonts w:hint="eastAsia"/>
                <w:b/>
                <w:highlight w:val="none"/>
                <w:lang w:eastAsia="zh-CN" w:bidi="ar"/>
              </w:rPr>
              <w:t>、</w:t>
            </w:r>
            <w:r>
              <w:rPr>
                <w:rFonts w:hint="eastAsia"/>
                <w:b/>
                <w:highlight w:val="none"/>
                <w:lang w:bidi="ar"/>
              </w:rPr>
              <w:t>激进型】投资者。代理销售机构对产品的发行对象与恒丰理财不一致的，以代理销售机构为准。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54" w:hRule="atLeast"/>
        </w:trPr>
        <w:tc>
          <w:tcPr>
            <w:tcW w:w="1937" w:type="dxa"/>
            <w:vAlign w:val="center"/>
          </w:tcPr>
          <w:p>
            <w:pPr>
              <w:jc w:val="center"/>
              <w:rPr>
                <w:rFonts w:ascii="??_GB2312" w:eastAsia="Times New Roman"/>
                <w:b/>
                <w:highlight w:val="none"/>
              </w:rPr>
            </w:pPr>
            <w:r>
              <w:rPr>
                <w:rFonts w:ascii="??_GB2312" w:eastAsia="Times New Roman"/>
                <w:b/>
                <w:highlight w:val="none"/>
              </w:rPr>
              <w:t>币种</w:t>
            </w:r>
          </w:p>
        </w:tc>
        <w:tc>
          <w:tcPr>
            <w:tcW w:w="7707" w:type="dxa"/>
            <w:vAlign w:val="center"/>
          </w:tcPr>
          <w:p>
            <w:pPr>
              <w:spacing w:line="312" w:lineRule="auto"/>
              <w:ind w:firstLine="420" w:firstLineChars="200"/>
              <w:jc w:val="left"/>
              <w:rPr>
                <w:rFonts w:ascii="宋体" w:hAnsi="宋体" w:cs="宋体" w:eastAsiaTheme="minorEastAsia"/>
                <w:kern w:val="0"/>
                <w:szCs w:val="21"/>
                <w:highlight w:val="none"/>
              </w:rPr>
            </w:pPr>
            <w:r>
              <w:rPr>
                <w:rFonts w:hint="eastAsia" w:ascii="宋体" w:hAnsi="宋体" w:cs="宋体" w:eastAsiaTheme="minorEastAsia"/>
                <w:kern w:val="0"/>
                <w:szCs w:val="21"/>
                <w:highlight w:val="none"/>
              </w:rPr>
              <w:t>人民币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54" w:hRule="atLeast"/>
        </w:trPr>
        <w:tc>
          <w:tcPr>
            <w:tcW w:w="1937" w:type="dxa"/>
            <w:vAlign w:val="center"/>
          </w:tcPr>
          <w:p>
            <w:pPr>
              <w:jc w:val="center"/>
              <w:rPr>
                <w:rFonts w:ascii="??_GB2312" w:eastAsia="Times New Roman"/>
                <w:b/>
                <w:highlight w:val="none"/>
              </w:rPr>
            </w:pPr>
            <w:r>
              <w:rPr>
                <w:rFonts w:hint="eastAsia" w:ascii="??_GB2312" w:eastAsia="Times New Roman"/>
                <w:b/>
                <w:highlight w:val="none"/>
              </w:rPr>
              <w:t>收益类型</w:t>
            </w:r>
          </w:p>
        </w:tc>
        <w:tc>
          <w:tcPr>
            <w:tcW w:w="7707" w:type="dxa"/>
            <w:vAlign w:val="center"/>
          </w:tcPr>
          <w:p>
            <w:pPr>
              <w:spacing w:line="312" w:lineRule="auto"/>
              <w:ind w:firstLine="420" w:firstLineChars="200"/>
              <w:jc w:val="left"/>
              <w:rPr>
                <w:rFonts w:ascii="宋体" w:hAnsi="宋体" w:cs="宋体" w:eastAsiaTheme="minorEastAsia"/>
                <w:kern w:val="0"/>
                <w:szCs w:val="21"/>
                <w:highlight w:val="none"/>
              </w:rPr>
            </w:pPr>
            <w:r>
              <w:rPr>
                <w:rFonts w:hint="eastAsia" w:ascii="宋体" w:hAnsi="宋体" w:cs="宋体" w:eastAsiaTheme="minorEastAsia"/>
                <w:kern w:val="0"/>
                <w:szCs w:val="21"/>
                <w:highlight w:val="none"/>
              </w:rPr>
              <w:t>净值型（非保本浮动收益）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54" w:hRule="atLeast"/>
        </w:trPr>
        <w:tc>
          <w:tcPr>
            <w:tcW w:w="1937" w:type="dxa"/>
            <w:vAlign w:val="center"/>
          </w:tcPr>
          <w:p>
            <w:pPr>
              <w:jc w:val="center"/>
              <w:rPr>
                <w:rFonts w:ascii="??_GB2312" w:eastAsia="Times New Roman"/>
                <w:b/>
                <w:highlight w:val="none"/>
              </w:rPr>
            </w:pPr>
            <w:r>
              <w:rPr>
                <w:rFonts w:hint="eastAsia" w:ascii="宋体" w:hAnsi="宋体" w:cs="宋体"/>
                <w:b/>
                <w:highlight w:val="none"/>
              </w:rPr>
              <w:t>份额类型</w:t>
            </w:r>
          </w:p>
        </w:tc>
        <w:tc>
          <w:tcPr>
            <w:tcW w:w="7707" w:type="dxa"/>
            <w:vAlign w:val="center"/>
          </w:tcPr>
          <w:p>
            <w:pPr>
              <w:widowControl/>
              <w:spacing w:line="273" w:lineRule="atLeast"/>
              <w:ind w:firstLine="420"/>
              <w:jc w:val="left"/>
              <w:rPr>
                <w:rFonts w:hint="eastAsia"/>
                <w:highlight w:val="none"/>
              </w:rPr>
            </w:pPr>
            <w:r>
              <w:rPr>
                <w:rFonts w:hint="eastAsia" w:ascii="宋体" w:hAnsi="宋体"/>
                <w:color w:val="000000"/>
                <w:szCs w:val="21"/>
                <w:highlight w:val="none"/>
              </w:rPr>
              <w:t>本产品</w:t>
            </w:r>
            <w:r>
              <w:rPr>
                <w:rFonts w:hint="eastAsia" w:ascii="宋体" w:hAnsi="宋体"/>
                <w:color w:val="000000"/>
                <w:szCs w:val="21"/>
                <w:highlight w:val="none"/>
                <w:lang w:val="en-US" w:eastAsia="zh-CN"/>
              </w:rPr>
              <w:t>可能</w:t>
            </w:r>
            <w:r>
              <w:rPr>
                <w:rFonts w:hint="eastAsia" w:ascii="宋体" w:hAnsi="宋体"/>
                <w:color w:val="000000"/>
                <w:szCs w:val="21"/>
                <w:highlight w:val="none"/>
              </w:rPr>
              <w:t>设置不同的理财产品份额，每类份额以下内容可能单独设置：销售代码、销售名称、销售对象、销售起点金额、业绩比较基准、费率、收费方式、单一投资者持有限额等，并分别计算和公告产品份额净值。投资者可根据实际情况自行选择认购/申购的产品份额类别。</w:t>
            </w:r>
            <w:r>
              <w:rPr>
                <w:rFonts w:hint="eastAsia"/>
                <w:highlight w:val="none"/>
              </w:rPr>
              <w:t xml:space="preserve"> </w:t>
            </w:r>
            <w:r>
              <w:rPr>
                <w:highlight w:val="none"/>
              </w:rPr>
              <w:t xml:space="preserve">   </w:t>
            </w:r>
          </w:p>
          <w:p>
            <w:pPr>
              <w:widowControl/>
              <w:spacing w:line="273" w:lineRule="atLeast"/>
              <w:ind w:firstLine="420" w:firstLineChars="200"/>
              <w:jc w:val="left"/>
              <w:rPr>
                <w:rStyle w:val="11"/>
                <w:rFonts w:hint="default" w:ascii="Times New Roman" w:hAnsi="Times New Roman" w:cs="Times New Roman"/>
              </w:rPr>
            </w:pPr>
            <w:r>
              <w:rPr>
                <w:rFonts w:hint="default" w:ascii="Times New Roman" w:hAnsi="Times New Roman" w:cs="Times New Roman"/>
                <w:color w:val="000000"/>
                <w:szCs w:val="21"/>
              </w:rPr>
              <w:t>A类份额，代码</w:t>
            </w:r>
            <w:r>
              <w:rPr>
                <w:rStyle w:val="11"/>
                <w:rFonts w:hint="default" w:ascii="Times New Roman" w:hAnsi="Times New Roman" w:cs="Times New Roman"/>
              </w:rPr>
              <w:t>【</w:t>
            </w:r>
            <w:r>
              <w:rPr>
                <w:rFonts w:hint="default" w:ascii="Times New Roman" w:hAnsi="Times New Roman" w:eastAsia="宋体" w:cs="Times New Roman"/>
                <w:color w:val="000000"/>
                <w:sz w:val="21"/>
                <w:szCs w:val="21"/>
                <w:lang w:bidi="ar"/>
              </w:rPr>
              <w:t>TTY22001</w:t>
            </w:r>
            <w:r>
              <w:rPr>
                <w:rStyle w:val="11"/>
                <w:rFonts w:hint="default" w:ascii="Times New Roman" w:hAnsi="Times New Roman" w:cs="Times New Roman"/>
              </w:rPr>
              <w:t>】，</w:t>
            </w:r>
            <w:r>
              <w:rPr>
                <w:rStyle w:val="11"/>
                <w:rFonts w:hint="default" w:ascii="Times New Roman" w:hAnsi="Times New Roman" w:eastAsia="宋体" w:cs="Times New Roman"/>
                <w:highlight w:val="none"/>
                <w:lang w:val="en-US" w:eastAsia="zh-CN"/>
              </w:rPr>
              <w:t>名</w:t>
            </w:r>
            <w:r>
              <w:rPr>
                <w:rStyle w:val="11"/>
                <w:rFonts w:hint="default" w:ascii="Times New Roman" w:hAnsi="Times New Roman" w:eastAsia="宋体" w:cs="Times New Roman"/>
                <w:highlight w:val="none"/>
              </w:rPr>
              <w:t>称【</w:t>
            </w:r>
            <w:r>
              <w:rPr>
                <w:rFonts w:hint="default" w:ascii="Times New Roman" w:hAnsi="Times New Roman" w:eastAsia="宋体" w:cs="Times New Roman"/>
                <w:kern w:val="0"/>
                <w:sz w:val="21"/>
                <w:szCs w:val="21"/>
                <w:lang w:val="en-US" w:eastAsia="zh-CN" w:bidi="ar"/>
              </w:rPr>
              <w:t>恒丰理财恒仁新恒梦钱包</w:t>
            </w:r>
            <w:r>
              <w:rPr>
                <w:rStyle w:val="11"/>
                <w:rFonts w:hint="default" w:ascii="Times New Roman" w:hAnsi="Times New Roman" w:eastAsia="宋体" w:cs="Times New Roman"/>
                <w:highlight w:val="none"/>
              </w:rPr>
              <w:t>】</w:t>
            </w:r>
            <w:r>
              <w:rPr>
                <w:rStyle w:val="11"/>
                <w:rFonts w:hint="default" w:ascii="Times New Roman" w:hAnsi="Times New Roman" w:eastAsia="宋体" w:cs="Times New Roman"/>
                <w:highlight w:val="none"/>
                <w:lang w:eastAsia="zh-CN"/>
              </w:rPr>
              <w:t>，</w:t>
            </w:r>
            <w:r>
              <w:rPr>
                <w:rStyle w:val="11"/>
                <w:rFonts w:hint="default" w:ascii="Times New Roman" w:hAnsi="Times New Roman" w:cs="Times New Roman"/>
              </w:rPr>
              <w:t>简称【</w:t>
            </w:r>
            <w:r>
              <w:rPr>
                <w:rFonts w:hint="default" w:ascii="Times New Roman" w:hAnsi="Times New Roman" w:cs="Times New Roman"/>
                <w:sz w:val="21"/>
                <w:szCs w:val="24"/>
                <w:lang w:val="en-US" w:eastAsia="zh-CN"/>
              </w:rPr>
              <w:t>新恒梦钱包1号</w:t>
            </w:r>
            <w:r>
              <w:rPr>
                <w:rStyle w:val="11"/>
                <w:rFonts w:hint="default" w:ascii="Times New Roman" w:hAnsi="Times New Roman" w:cs="Times New Roman"/>
              </w:rPr>
              <w:t>A】，销售对象【</w:t>
            </w:r>
            <w:r>
              <w:rPr>
                <w:rFonts w:hint="default" w:ascii="Times New Roman" w:hAnsi="Times New Roman" w:cs="Times New Roman"/>
                <w:kern w:val="0"/>
                <w:sz w:val="21"/>
                <w:szCs w:val="21"/>
                <w:lang w:val="en-US" w:eastAsia="zh-CN"/>
              </w:rPr>
              <w:t>恒丰银行、浙商银行所属客户</w:t>
            </w:r>
            <w:r>
              <w:rPr>
                <w:rFonts w:hint="eastAsia" w:cs="Times New Roman"/>
                <w:kern w:val="0"/>
                <w:sz w:val="21"/>
                <w:szCs w:val="21"/>
                <w:lang w:val="en-US" w:eastAsia="zh-CN"/>
              </w:rPr>
              <w:t>，恒丰理财机构</w:t>
            </w:r>
            <w:r>
              <w:rPr>
                <w:rFonts w:hint="default" w:ascii="Times New Roman" w:hAnsi="Times New Roman" w:cs="Times New Roman"/>
                <w:kern w:val="0"/>
                <w:sz w:val="21"/>
                <w:szCs w:val="21"/>
                <w:lang w:val="en-US" w:eastAsia="zh-CN"/>
              </w:rPr>
              <w:t>客户，具体客户类型以</w:t>
            </w:r>
            <w:r>
              <w:rPr>
                <w:rFonts w:hint="eastAsia" w:cs="Times New Roman"/>
                <w:kern w:val="0"/>
                <w:sz w:val="21"/>
                <w:szCs w:val="21"/>
                <w:lang w:val="en-US" w:eastAsia="zh-CN"/>
              </w:rPr>
              <w:t>销售机构</w:t>
            </w:r>
            <w:r>
              <w:rPr>
                <w:rFonts w:hint="default" w:ascii="Times New Roman" w:hAnsi="Times New Roman" w:cs="Times New Roman"/>
                <w:kern w:val="0"/>
                <w:sz w:val="21"/>
                <w:szCs w:val="21"/>
                <w:lang w:val="en-US" w:eastAsia="zh-CN"/>
              </w:rPr>
              <w:t>规定为准</w:t>
            </w:r>
            <w:r>
              <w:rPr>
                <w:rStyle w:val="11"/>
                <w:rFonts w:hint="default" w:ascii="Times New Roman" w:hAnsi="Times New Roman" w:cs="Times New Roman"/>
              </w:rPr>
              <w:t>】；</w:t>
            </w:r>
          </w:p>
          <w:p>
            <w:pPr>
              <w:widowControl/>
              <w:spacing w:line="273" w:lineRule="atLeast"/>
              <w:ind w:firstLine="420" w:firstLineChars="200"/>
              <w:jc w:val="left"/>
              <w:rPr>
                <w:rStyle w:val="11"/>
                <w:rFonts w:hint="eastAsia" w:ascii="Times New Roman" w:hAnsi="Times New Roman" w:eastAsia="宋体" w:cs="Times New Roman"/>
                <w:lang w:eastAsia="zh-CN"/>
              </w:rPr>
            </w:pPr>
            <w:r>
              <w:rPr>
                <w:rFonts w:hint="eastAsia" w:ascii="Times New Roman" w:hAnsi="Times New Roman" w:cs="Times New Roman"/>
                <w:color w:val="000000"/>
                <w:szCs w:val="21"/>
                <w:lang w:val="en-US" w:eastAsia="zh-CN"/>
              </w:rPr>
              <w:t>B</w:t>
            </w:r>
            <w:r>
              <w:rPr>
                <w:rFonts w:hint="default" w:ascii="Times New Roman" w:hAnsi="Times New Roman" w:cs="Times New Roman"/>
                <w:color w:val="000000"/>
                <w:szCs w:val="21"/>
              </w:rPr>
              <w:t>类份额，代码</w:t>
            </w:r>
            <w:r>
              <w:rPr>
                <w:rStyle w:val="11"/>
                <w:rFonts w:hint="default" w:ascii="Times New Roman" w:hAnsi="Times New Roman" w:cs="Times New Roman"/>
              </w:rPr>
              <w:t>【TTY2200101】，</w:t>
            </w:r>
            <w:r>
              <w:rPr>
                <w:rStyle w:val="11"/>
                <w:rFonts w:hint="default" w:ascii="Times New Roman" w:hAnsi="Times New Roman" w:eastAsia="宋体" w:cs="Times New Roman"/>
                <w:highlight w:val="none"/>
                <w:lang w:val="en-US" w:eastAsia="zh-CN"/>
              </w:rPr>
              <w:t>名</w:t>
            </w:r>
            <w:r>
              <w:rPr>
                <w:rStyle w:val="11"/>
                <w:rFonts w:hint="default" w:ascii="Times New Roman" w:hAnsi="Times New Roman" w:eastAsia="宋体" w:cs="Times New Roman"/>
                <w:highlight w:val="none"/>
              </w:rPr>
              <w:t>称【恒丰理财恒仁新恒梦钱包B】</w:t>
            </w:r>
            <w:r>
              <w:rPr>
                <w:rStyle w:val="11"/>
                <w:rFonts w:hint="default" w:ascii="Times New Roman" w:hAnsi="Times New Roman" w:eastAsia="宋体" w:cs="Times New Roman"/>
                <w:highlight w:val="none"/>
                <w:lang w:eastAsia="zh-CN"/>
              </w:rPr>
              <w:t>，</w:t>
            </w:r>
            <w:r>
              <w:rPr>
                <w:rStyle w:val="11"/>
                <w:rFonts w:hint="default" w:ascii="Times New Roman" w:hAnsi="Times New Roman" w:cs="Times New Roman"/>
              </w:rPr>
              <w:t>简称【新恒梦钱包1号B】，销售对象【富民银行</w:t>
            </w:r>
            <w:r>
              <w:rPr>
                <w:rFonts w:hint="default" w:ascii="Times New Roman" w:hAnsi="Times New Roman" w:cs="Times New Roman"/>
                <w:kern w:val="0"/>
                <w:sz w:val="21"/>
                <w:szCs w:val="21"/>
                <w:lang w:val="en-US" w:eastAsia="zh-CN"/>
              </w:rPr>
              <w:t>所属客户，具体客户类型以</w:t>
            </w:r>
            <w:r>
              <w:rPr>
                <w:rStyle w:val="11"/>
                <w:rFonts w:hint="default" w:ascii="Times New Roman" w:hAnsi="Times New Roman" w:cs="Times New Roman"/>
              </w:rPr>
              <w:t>富民银行</w:t>
            </w:r>
            <w:r>
              <w:rPr>
                <w:rFonts w:hint="default" w:ascii="Times New Roman" w:hAnsi="Times New Roman" w:cs="Times New Roman"/>
                <w:kern w:val="0"/>
                <w:sz w:val="21"/>
                <w:szCs w:val="21"/>
                <w:lang w:val="en-US" w:eastAsia="zh-CN"/>
              </w:rPr>
              <w:t>规定为准</w:t>
            </w:r>
            <w:r>
              <w:rPr>
                <w:rStyle w:val="11"/>
                <w:rFonts w:hint="default" w:ascii="Times New Roman" w:hAnsi="Times New Roman" w:cs="Times New Roman"/>
              </w:rPr>
              <w:t>】</w:t>
            </w:r>
            <w:r>
              <w:rPr>
                <w:rStyle w:val="11"/>
                <w:rFonts w:hint="eastAsia" w:ascii="Times New Roman" w:hAnsi="Times New Roman" w:cs="Times New Roman"/>
                <w:lang w:eastAsia="zh-CN"/>
              </w:rPr>
              <w:t>；</w:t>
            </w:r>
          </w:p>
          <w:p>
            <w:pPr>
              <w:widowControl/>
              <w:spacing w:line="273" w:lineRule="atLeast"/>
              <w:ind w:firstLine="420" w:firstLineChars="200"/>
              <w:jc w:val="left"/>
              <w:rPr>
                <w:rStyle w:val="11"/>
                <w:rFonts w:hint="eastAsia" w:ascii="Times New Roman" w:hAnsi="Times New Roman" w:cs="Times New Roman"/>
                <w:lang w:eastAsia="zh-CN"/>
              </w:rPr>
            </w:pPr>
            <w:r>
              <w:rPr>
                <w:rFonts w:hint="eastAsia" w:ascii="Times New Roman" w:hAnsi="Times New Roman" w:cs="Times New Roman"/>
                <w:color w:val="000000"/>
                <w:szCs w:val="21"/>
                <w:lang w:val="en-US" w:eastAsia="zh-CN"/>
              </w:rPr>
              <w:t>C</w:t>
            </w:r>
            <w:r>
              <w:rPr>
                <w:rFonts w:hint="default" w:ascii="Times New Roman" w:hAnsi="Times New Roman" w:cs="Times New Roman"/>
                <w:color w:val="000000"/>
                <w:szCs w:val="21"/>
              </w:rPr>
              <w:t>类份额，代码</w:t>
            </w:r>
            <w:r>
              <w:rPr>
                <w:rStyle w:val="11"/>
                <w:rFonts w:hint="default" w:ascii="Times New Roman" w:hAnsi="Times New Roman" w:cs="Times New Roman"/>
              </w:rPr>
              <w:t>【TTY2200102】，</w:t>
            </w:r>
            <w:r>
              <w:rPr>
                <w:rStyle w:val="11"/>
                <w:rFonts w:hint="default" w:ascii="Times New Roman" w:hAnsi="Times New Roman" w:eastAsia="宋体" w:cs="Times New Roman"/>
                <w:highlight w:val="none"/>
                <w:lang w:val="en-US" w:eastAsia="zh-CN"/>
              </w:rPr>
              <w:t>名</w:t>
            </w:r>
            <w:r>
              <w:rPr>
                <w:rStyle w:val="11"/>
                <w:rFonts w:hint="default" w:ascii="Times New Roman" w:hAnsi="Times New Roman" w:eastAsia="宋体" w:cs="Times New Roman"/>
                <w:highlight w:val="none"/>
              </w:rPr>
              <w:t>称【恒丰理财恒仁新恒梦钱包C】</w:t>
            </w:r>
            <w:r>
              <w:rPr>
                <w:rStyle w:val="11"/>
                <w:rFonts w:hint="default" w:ascii="Times New Roman" w:hAnsi="Times New Roman" w:eastAsia="宋体" w:cs="Times New Roman"/>
                <w:highlight w:val="none"/>
                <w:lang w:eastAsia="zh-CN"/>
              </w:rPr>
              <w:t>，</w:t>
            </w:r>
            <w:r>
              <w:rPr>
                <w:rStyle w:val="11"/>
                <w:rFonts w:hint="default" w:ascii="Times New Roman" w:hAnsi="Times New Roman" w:cs="Times New Roman"/>
              </w:rPr>
              <w:t>简称【新恒梦钱包1号</w:t>
            </w:r>
            <w:r>
              <w:rPr>
                <w:rStyle w:val="11"/>
                <w:rFonts w:hint="eastAsia" w:ascii="Times New Roman" w:hAnsi="Times New Roman" w:cs="Times New Roman"/>
                <w:lang w:val="en-US" w:eastAsia="zh-CN"/>
              </w:rPr>
              <w:t>C</w:t>
            </w:r>
            <w:r>
              <w:rPr>
                <w:rStyle w:val="11"/>
                <w:rFonts w:hint="default" w:ascii="Times New Roman" w:hAnsi="Times New Roman" w:cs="Times New Roman"/>
              </w:rPr>
              <w:t>】，销售对象【泰安银行</w:t>
            </w:r>
            <w:r>
              <w:rPr>
                <w:rFonts w:hint="default" w:ascii="Times New Roman" w:hAnsi="Times New Roman" w:cs="Times New Roman"/>
                <w:kern w:val="0"/>
                <w:sz w:val="21"/>
                <w:szCs w:val="21"/>
                <w:lang w:val="en-US" w:eastAsia="zh-CN"/>
              </w:rPr>
              <w:t>所属客户，具体客户类型以</w:t>
            </w:r>
            <w:r>
              <w:rPr>
                <w:rStyle w:val="11"/>
                <w:rFonts w:hint="default" w:ascii="Times New Roman" w:hAnsi="Times New Roman" w:cs="Times New Roman"/>
              </w:rPr>
              <w:t>泰安银行</w:t>
            </w:r>
            <w:r>
              <w:rPr>
                <w:rFonts w:hint="default" w:ascii="Times New Roman" w:hAnsi="Times New Roman" w:cs="Times New Roman"/>
                <w:kern w:val="0"/>
                <w:sz w:val="21"/>
                <w:szCs w:val="21"/>
                <w:lang w:val="en-US" w:eastAsia="zh-CN"/>
              </w:rPr>
              <w:t>规定为准</w:t>
            </w:r>
            <w:r>
              <w:rPr>
                <w:rStyle w:val="11"/>
                <w:rFonts w:hint="default" w:ascii="Times New Roman" w:hAnsi="Times New Roman" w:cs="Times New Roman"/>
              </w:rPr>
              <w:t>】</w:t>
            </w:r>
            <w:r>
              <w:rPr>
                <w:rStyle w:val="11"/>
                <w:rFonts w:hint="eastAsia" w:ascii="Times New Roman" w:hAnsi="Times New Roman" w:cs="Times New Roman"/>
                <w:lang w:eastAsia="zh-CN"/>
              </w:rPr>
              <w:t>；</w:t>
            </w:r>
          </w:p>
          <w:p>
            <w:pPr>
              <w:widowControl/>
              <w:spacing w:line="273" w:lineRule="atLeast"/>
              <w:ind w:firstLine="420" w:firstLineChars="200"/>
              <w:jc w:val="left"/>
              <w:rPr>
                <w:rStyle w:val="11"/>
                <w:rFonts w:hint="eastAsia" w:ascii="Times New Roman" w:hAnsi="Times New Roman" w:cs="Times New Roman"/>
                <w:lang w:eastAsia="zh-CN"/>
              </w:rPr>
            </w:pPr>
            <w:r>
              <w:rPr>
                <w:rFonts w:hint="eastAsia" w:ascii="Times New Roman" w:hAnsi="Times New Roman" w:cs="Times New Roman"/>
                <w:color w:val="000000"/>
                <w:szCs w:val="21"/>
                <w:lang w:val="en-US" w:eastAsia="zh-CN"/>
              </w:rPr>
              <w:t>D</w:t>
            </w:r>
            <w:r>
              <w:rPr>
                <w:rFonts w:hint="default" w:ascii="Times New Roman" w:hAnsi="Times New Roman" w:cs="Times New Roman"/>
                <w:color w:val="000000"/>
                <w:szCs w:val="21"/>
              </w:rPr>
              <w:t>类份额，代码</w:t>
            </w:r>
            <w:r>
              <w:rPr>
                <w:rStyle w:val="11"/>
                <w:rFonts w:hint="default" w:ascii="Times New Roman" w:hAnsi="Times New Roman" w:cs="Times New Roman"/>
              </w:rPr>
              <w:t>【TTY2200103】，</w:t>
            </w:r>
            <w:r>
              <w:rPr>
                <w:rStyle w:val="11"/>
                <w:rFonts w:hint="default" w:ascii="Times New Roman" w:hAnsi="Times New Roman" w:eastAsia="宋体" w:cs="Times New Roman"/>
                <w:highlight w:val="none"/>
                <w:lang w:val="en-US" w:eastAsia="zh-CN"/>
              </w:rPr>
              <w:t>名</w:t>
            </w:r>
            <w:r>
              <w:rPr>
                <w:rStyle w:val="11"/>
                <w:rFonts w:hint="default" w:ascii="Times New Roman" w:hAnsi="Times New Roman" w:eastAsia="宋体" w:cs="Times New Roman"/>
                <w:highlight w:val="none"/>
              </w:rPr>
              <w:t>称【恒丰理财恒仁新恒梦钱包D】</w:t>
            </w:r>
            <w:r>
              <w:rPr>
                <w:rStyle w:val="11"/>
                <w:rFonts w:hint="default" w:ascii="Times New Roman" w:hAnsi="Times New Roman" w:eastAsia="宋体" w:cs="Times New Roman"/>
                <w:highlight w:val="none"/>
                <w:lang w:eastAsia="zh-CN"/>
              </w:rPr>
              <w:t>，</w:t>
            </w:r>
            <w:r>
              <w:rPr>
                <w:rStyle w:val="11"/>
                <w:rFonts w:hint="default" w:ascii="Times New Roman" w:hAnsi="Times New Roman" w:cs="Times New Roman"/>
              </w:rPr>
              <w:t>简称【新恒梦钱包1号</w:t>
            </w:r>
            <w:r>
              <w:rPr>
                <w:rStyle w:val="11"/>
                <w:rFonts w:hint="eastAsia" w:ascii="Times New Roman" w:hAnsi="Times New Roman" w:cs="Times New Roman"/>
                <w:lang w:val="en-US" w:eastAsia="zh-CN"/>
              </w:rPr>
              <w:t>D</w:t>
            </w:r>
            <w:r>
              <w:rPr>
                <w:rStyle w:val="11"/>
                <w:rFonts w:hint="default" w:ascii="Times New Roman" w:hAnsi="Times New Roman" w:cs="Times New Roman"/>
              </w:rPr>
              <w:t>】，销售对象【</w:t>
            </w:r>
            <w:r>
              <w:rPr>
                <w:rStyle w:val="11"/>
                <w:rFonts w:hint="eastAsia" w:ascii="Times New Roman" w:hAnsi="Times New Roman" w:cs="Times New Roman"/>
                <w:lang w:val="en-US" w:eastAsia="zh-CN"/>
              </w:rPr>
              <w:t>枣庄</w:t>
            </w:r>
            <w:r>
              <w:rPr>
                <w:rStyle w:val="11"/>
                <w:rFonts w:hint="default" w:ascii="Times New Roman" w:hAnsi="Times New Roman" w:cs="Times New Roman"/>
              </w:rPr>
              <w:t>银行</w:t>
            </w:r>
            <w:r>
              <w:rPr>
                <w:rFonts w:hint="default" w:ascii="Times New Roman" w:hAnsi="Times New Roman" w:cs="Times New Roman"/>
                <w:kern w:val="0"/>
                <w:sz w:val="21"/>
                <w:szCs w:val="21"/>
                <w:lang w:val="en-US" w:eastAsia="zh-CN"/>
              </w:rPr>
              <w:t>所属客户，具体客户类型以</w:t>
            </w:r>
            <w:r>
              <w:rPr>
                <w:rStyle w:val="11"/>
                <w:rFonts w:hint="eastAsia" w:ascii="Times New Roman" w:hAnsi="Times New Roman" w:cs="Times New Roman"/>
                <w:lang w:val="en-US" w:eastAsia="zh-CN"/>
              </w:rPr>
              <w:t>枣庄</w:t>
            </w:r>
            <w:r>
              <w:rPr>
                <w:rStyle w:val="11"/>
                <w:rFonts w:hint="default" w:ascii="Times New Roman" w:hAnsi="Times New Roman" w:cs="Times New Roman"/>
              </w:rPr>
              <w:t>银行</w:t>
            </w:r>
            <w:r>
              <w:rPr>
                <w:rFonts w:hint="default" w:ascii="Times New Roman" w:hAnsi="Times New Roman" w:cs="Times New Roman"/>
                <w:kern w:val="0"/>
                <w:sz w:val="21"/>
                <w:szCs w:val="21"/>
                <w:lang w:val="en-US" w:eastAsia="zh-CN"/>
              </w:rPr>
              <w:t>规定为准</w:t>
            </w:r>
            <w:r>
              <w:rPr>
                <w:rStyle w:val="11"/>
                <w:rFonts w:hint="default" w:ascii="Times New Roman" w:hAnsi="Times New Roman" w:cs="Times New Roman"/>
              </w:rPr>
              <w:t>】</w:t>
            </w:r>
            <w:r>
              <w:rPr>
                <w:rStyle w:val="11"/>
                <w:rFonts w:hint="eastAsia" w:ascii="Times New Roman" w:hAnsi="Times New Roman" w:cs="Times New Roman"/>
                <w:lang w:eastAsia="zh-CN"/>
              </w:rPr>
              <w:t>；</w:t>
            </w:r>
          </w:p>
          <w:p>
            <w:pPr>
              <w:widowControl/>
              <w:spacing w:line="273" w:lineRule="atLeast"/>
              <w:ind w:firstLine="420" w:firstLineChars="200"/>
              <w:jc w:val="left"/>
              <w:rPr>
                <w:rStyle w:val="11"/>
                <w:rFonts w:hint="eastAsia" w:ascii="Times New Roman" w:hAnsi="Times New Roman" w:cs="Times New Roman"/>
                <w:lang w:eastAsia="zh-CN"/>
              </w:rPr>
            </w:pPr>
            <w:r>
              <w:rPr>
                <w:rFonts w:hint="eastAsia" w:ascii="Times New Roman" w:hAnsi="Times New Roman" w:cs="Times New Roman"/>
                <w:color w:val="000000"/>
                <w:szCs w:val="21"/>
                <w:lang w:val="en-US" w:eastAsia="zh-CN"/>
              </w:rPr>
              <w:t>E</w:t>
            </w:r>
            <w:r>
              <w:rPr>
                <w:rFonts w:hint="default" w:ascii="Times New Roman" w:hAnsi="Times New Roman" w:cs="Times New Roman"/>
                <w:color w:val="000000"/>
                <w:szCs w:val="21"/>
              </w:rPr>
              <w:t>类份额，代码</w:t>
            </w:r>
            <w:r>
              <w:rPr>
                <w:rStyle w:val="11"/>
                <w:rFonts w:hint="default" w:ascii="Times New Roman" w:hAnsi="Times New Roman" w:cs="Times New Roman"/>
              </w:rPr>
              <w:t>【TTY2200104】，</w:t>
            </w:r>
            <w:r>
              <w:rPr>
                <w:rStyle w:val="11"/>
                <w:rFonts w:hint="default" w:ascii="Times New Roman" w:hAnsi="Times New Roman" w:eastAsia="宋体" w:cs="Times New Roman"/>
                <w:highlight w:val="none"/>
                <w:lang w:val="en-US" w:eastAsia="zh-CN"/>
              </w:rPr>
              <w:t>名</w:t>
            </w:r>
            <w:r>
              <w:rPr>
                <w:rStyle w:val="11"/>
                <w:rFonts w:hint="default" w:ascii="Times New Roman" w:hAnsi="Times New Roman" w:eastAsia="宋体" w:cs="Times New Roman"/>
                <w:highlight w:val="none"/>
              </w:rPr>
              <w:t>称【恒丰理财恒仁新恒梦钱包E】</w:t>
            </w:r>
            <w:r>
              <w:rPr>
                <w:rStyle w:val="11"/>
                <w:rFonts w:hint="default" w:ascii="Times New Roman" w:hAnsi="Times New Roman" w:eastAsia="宋体" w:cs="Times New Roman"/>
                <w:highlight w:val="none"/>
                <w:lang w:eastAsia="zh-CN"/>
              </w:rPr>
              <w:t>，</w:t>
            </w:r>
            <w:r>
              <w:rPr>
                <w:rStyle w:val="11"/>
                <w:rFonts w:hint="default" w:ascii="Times New Roman" w:hAnsi="Times New Roman" w:cs="Times New Roman"/>
              </w:rPr>
              <w:t>简称【新恒梦钱包1号</w:t>
            </w:r>
            <w:r>
              <w:rPr>
                <w:rStyle w:val="11"/>
                <w:rFonts w:hint="eastAsia" w:ascii="Times New Roman" w:hAnsi="Times New Roman" w:cs="Times New Roman"/>
                <w:lang w:val="en-US" w:eastAsia="zh-CN"/>
              </w:rPr>
              <w:t>E</w:t>
            </w:r>
            <w:r>
              <w:rPr>
                <w:rStyle w:val="11"/>
                <w:rFonts w:hint="default" w:ascii="Times New Roman" w:hAnsi="Times New Roman" w:cs="Times New Roman"/>
              </w:rPr>
              <w:t>】，销售对象【</w:t>
            </w:r>
            <w:r>
              <w:rPr>
                <w:rStyle w:val="11"/>
                <w:rFonts w:hint="eastAsia" w:ascii="Times New Roman" w:hAnsi="Times New Roman" w:cs="Times New Roman"/>
                <w:lang w:val="en-US" w:eastAsia="zh-CN"/>
              </w:rPr>
              <w:t>苏州</w:t>
            </w:r>
            <w:r>
              <w:rPr>
                <w:rStyle w:val="11"/>
                <w:rFonts w:hint="default" w:ascii="Times New Roman" w:hAnsi="Times New Roman" w:cs="Times New Roman"/>
              </w:rPr>
              <w:t>银行</w:t>
            </w:r>
            <w:r>
              <w:rPr>
                <w:rFonts w:hint="default" w:ascii="Times New Roman" w:hAnsi="Times New Roman" w:cs="Times New Roman"/>
                <w:kern w:val="0"/>
                <w:sz w:val="21"/>
                <w:szCs w:val="21"/>
                <w:lang w:val="en-US" w:eastAsia="zh-CN"/>
              </w:rPr>
              <w:t>所属客户，具体客户类型以</w:t>
            </w:r>
            <w:r>
              <w:rPr>
                <w:rStyle w:val="11"/>
                <w:rFonts w:hint="default" w:ascii="Times New Roman" w:hAnsi="Times New Roman" w:cs="Times New Roman"/>
              </w:rPr>
              <w:t>苏州银行</w:t>
            </w:r>
            <w:r>
              <w:rPr>
                <w:rFonts w:hint="default" w:ascii="Times New Roman" w:hAnsi="Times New Roman" w:cs="Times New Roman"/>
                <w:kern w:val="0"/>
                <w:sz w:val="21"/>
                <w:szCs w:val="21"/>
                <w:lang w:val="en-US" w:eastAsia="zh-CN"/>
              </w:rPr>
              <w:t>规定为准</w:t>
            </w:r>
            <w:r>
              <w:rPr>
                <w:rStyle w:val="11"/>
                <w:rFonts w:hint="default" w:ascii="Times New Roman" w:hAnsi="Times New Roman" w:cs="Times New Roman"/>
              </w:rPr>
              <w:t>】</w:t>
            </w:r>
            <w:r>
              <w:rPr>
                <w:rStyle w:val="11"/>
                <w:rFonts w:hint="eastAsia" w:ascii="Times New Roman" w:hAnsi="Times New Roman" w:cs="Times New Roman"/>
                <w:lang w:eastAsia="zh-CN"/>
              </w:rPr>
              <w:t>。</w:t>
            </w:r>
          </w:p>
          <w:p>
            <w:pPr>
              <w:spacing w:line="312" w:lineRule="auto"/>
              <w:ind w:firstLine="420" w:firstLineChars="200"/>
              <w:jc w:val="left"/>
              <w:rPr>
                <w:rFonts w:ascii="宋体" w:hAnsi="宋体" w:cs="宋体" w:eastAsiaTheme="minorEastAsia"/>
                <w:kern w:val="0"/>
                <w:szCs w:val="21"/>
                <w:highlight w:val="none"/>
              </w:rPr>
            </w:pPr>
            <w:r>
              <w:rPr>
                <w:rFonts w:hint="eastAsia"/>
                <w:kern w:val="0"/>
                <w:highlight w:val="none"/>
              </w:rPr>
              <w:t>如理财产品份额类型有新增、减少和变更，恒丰理财将按照本</w:t>
            </w:r>
            <w:r>
              <w:rPr>
                <w:highlight w:val="none"/>
              </w:rPr>
              <w:t>理财产品说明书中有关“</w:t>
            </w:r>
            <w:r>
              <w:rPr>
                <w:rFonts w:hint="eastAsia"/>
                <w:b/>
                <w:bCs/>
                <w:highlight w:val="none"/>
              </w:rPr>
              <w:t>信息披露</w:t>
            </w:r>
            <w:r>
              <w:rPr>
                <w:highlight w:val="none"/>
              </w:rPr>
              <w:t>”的约定</w:t>
            </w:r>
            <w:r>
              <w:rPr>
                <w:rFonts w:hint="eastAsia"/>
                <w:kern w:val="0"/>
                <w:highlight w:val="none"/>
              </w:rPr>
              <w:t>告知投资者。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54" w:hRule="atLeast"/>
        </w:trPr>
        <w:tc>
          <w:tcPr>
            <w:tcW w:w="1937" w:type="dxa"/>
            <w:vAlign w:val="center"/>
          </w:tcPr>
          <w:p>
            <w:pPr>
              <w:rPr>
                <w:highlight w:val="none"/>
              </w:rPr>
            </w:pPr>
          </w:p>
          <w:p>
            <w:pPr>
              <w:widowControl/>
              <w:spacing w:line="315" w:lineRule="atLeast"/>
              <w:jc w:val="center"/>
              <w:rPr>
                <w:b/>
                <w:bCs/>
                <w:kern w:val="0"/>
                <w:highlight w:val="none"/>
              </w:rPr>
            </w:pPr>
            <w:r>
              <w:rPr>
                <w:rFonts w:hint="eastAsia" w:ascii="宋体" w:hAnsi="宋体" w:cs="宋体"/>
                <w:b/>
                <w:szCs w:val="21"/>
                <w:highlight w:val="none"/>
                <w:lang w:bidi="ar"/>
              </w:rPr>
              <w:t>业绩比较基准</w:t>
            </w:r>
          </w:p>
        </w:tc>
        <w:tc>
          <w:tcPr>
            <w:tcW w:w="7707" w:type="dxa"/>
          </w:tcPr>
          <w:p>
            <w:pPr>
              <w:widowControl/>
              <w:spacing w:line="273" w:lineRule="atLeast"/>
              <w:ind w:firstLine="420"/>
              <w:jc w:val="left"/>
              <w:rPr>
                <w:rStyle w:val="11"/>
                <w:b/>
                <w:bCs/>
                <w:highlight w:val="none"/>
              </w:rPr>
            </w:pPr>
            <w:r>
              <w:rPr>
                <w:rFonts w:hint="eastAsia" w:ascii="Times New Roman" w:hAnsi="Times New Roman" w:eastAsia="宋体" w:cs="Times New Roman"/>
                <w:kern w:val="2"/>
                <w:sz w:val="21"/>
                <w:szCs w:val="21"/>
                <w:highlight w:val="none"/>
                <w:lang w:val="en-US" w:eastAsia="zh-CN" w:bidi="ar"/>
              </w:rPr>
              <w:t>本产品资金</w:t>
            </w:r>
            <w:r>
              <w:rPr>
                <w:rFonts w:hint="default" w:ascii="Times New Roman" w:hAnsi="Times New Roman" w:eastAsia="宋体" w:cs="Times New Roman"/>
                <w:kern w:val="2"/>
                <w:sz w:val="21"/>
                <w:szCs w:val="21"/>
                <w:highlight w:val="none"/>
                <w:lang w:val="en-US" w:eastAsia="zh-CN" w:bidi="ar"/>
              </w:rPr>
              <w:t>100%</w:t>
            </w:r>
            <w:r>
              <w:rPr>
                <w:rFonts w:hint="eastAsia" w:ascii="Times New Roman" w:hAnsi="Times New Roman" w:eastAsia="宋体" w:cs="Times New Roman"/>
                <w:kern w:val="2"/>
                <w:sz w:val="21"/>
                <w:szCs w:val="21"/>
                <w:highlight w:val="none"/>
                <w:lang w:val="en-US" w:eastAsia="zh-CN" w:bidi="ar"/>
              </w:rPr>
              <w:t>投资于现金、期限在</w:t>
            </w:r>
            <w:r>
              <w:rPr>
                <w:rFonts w:hint="default" w:ascii="Times New Roman" w:hAnsi="Times New Roman" w:eastAsia="宋体" w:cs="Times New Roman"/>
                <w:kern w:val="2"/>
                <w:sz w:val="21"/>
                <w:szCs w:val="21"/>
                <w:highlight w:val="none"/>
                <w:lang w:val="en-US" w:eastAsia="zh-CN" w:bidi="ar"/>
              </w:rPr>
              <w:t>1</w:t>
            </w:r>
            <w:r>
              <w:rPr>
                <w:rFonts w:hint="eastAsia" w:ascii="Times New Roman" w:hAnsi="Times New Roman" w:eastAsia="宋体" w:cs="Times New Roman"/>
                <w:kern w:val="2"/>
                <w:sz w:val="21"/>
                <w:szCs w:val="21"/>
                <w:highlight w:val="none"/>
                <w:lang w:val="en-US" w:eastAsia="zh-CN" w:bidi="ar"/>
              </w:rPr>
              <w:t>年以内（含</w:t>
            </w:r>
            <w:r>
              <w:rPr>
                <w:rFonts w:hint="default" w:ascii="Times New Roman" w:hAnsi="Times New Roman" w:eastAsia="宋体" w:cs="Times New Roman"/>
                <w:kern w:val="2"/>
                <w:sz w:val="21"/>
                <w:szCs w:val="21"/>
                <w:highlight w:val="none"/>
                <w:lang w:val="en-US" w:eastAsia="zh-CN" w:bidi="ar"/>
              </w:rPr>
              <w:t>1</w:t>
            </w:r>
            <w:r>
              <w:rPr>
                <w:rFonts w:hint="eastAsia" w:ascii="Times New Roman" w:hAnsi="Times New Roman" w:eastAsia="宋体" w:cs="Times New Roman"/>
                <w:kern w:val="2"/>
                <w:sz w:val="21"/>
                <w:szCs w:val="21"/>
                <w:highlight w:val="none"/>
                <w:lang w:val="en-US" w:eastAsia="zh-CN" w:bidi="ar"/>
              </w:rPr>
              <w:t>年）的银行存款、债券回购、中央银行票据、同业存单、剩余期限在</w:t>
            </w:r>
            <w:r>
              <w:rPr>
                <w:rFonts w:hint="default" w:ascii="Times New Roman" w:hAnsi="Times New Roman" w:eastAsia="宋体" w:cs="Times New Roman"/>
                <w:kern w:val="2"/>
                <w:sz w:val="21"/>
                <w:szCs w:val="21"/>
                <w:highlight w:val="none"/>
                <w:lang w:val="en-US" w:eastAsia="zh-CN" w:bidi="ar"/>
              </w:rPr>
              <w:t>397</w:t>
            </w:r>
            <w:r>
              <w:rPr>
                <w:rFonts w:hint="eastAsia" w:ascii="Times New Roman" w:hAnsi="Times New Roman" w:eastAsia="宋体" w:cs="Times New Roman"/>
                <w:kern w:val="2"/>
                <w:sz w:val="21"/>
                <w:szCs w:val="21"/>
                <w:highlight w:val="none"/>
                <w:lang w:val="en-US" w:eastAsia="zh-CN" w:bidi="ar"/>
              </w:rPr>
              <w:t>天以内（含</w:t>
            </w:r>
            <w:r>
              <w:rPr>
                <w:rFonts w:hint="default" w:ascii="Times New Roman" w:hAnsi="Times New Roman" w:eastAsia="宋体" w:cs="Times New Roman"/>
                <w:kern w:val="2"/>
                <w:sz w:val="21"/>
                <w:szCs w:val="21"/>
                <w:highlight w:val="none"/>
                <w:lang w:val="en-US" w:eastAsia="zh-CN" w:bidi="ar"/>
              </w:rPr>
              <w:t>397</w:t>
            </w:r>
            <w:r>
              <w:rPr>
                <w:rFonts w:hint="eastAsia" w:ascii="Times New Roman" w:hAnsi="Times New Roman" w:eastAsia="宋体" w:cs="Times New Roman"/>
                <w:kern w:val="2"/>
                <w:sz w:val="21"/>
                <w:szCs w:val="21"/>
                <w:highlight w:val="none"/>
                <w:lang w:val="en-US" w:eastAsia="zh-CN" w:bidi="ar"/>
              </w:rPr>
              <w:t>天）的债券、在银行间市场和证券交易所市场发行的资产支持证券、及</w:t>
            </w:r>
            <w:r>
              <w:rPr>
                <w:rFonts w:hint="eastAsia" w:cs="Times New Roman"/>
                <w:kern w:val="2"/>
                <w:sz w:val="21"/>
                <w:szCs w:val="21"/>
                <w:highlight w:val="none"/>
                <w:lang w:val="en-US" w:eastAsia="zh-CN" w:bidi="ar"/>
              </w:rPr>
              <w:t>金融监督管理部门</w:t>
            </w:r>
            <w:r>
              <w:rPr>
                <w:rFonts w:hint="eastAsia" w:ascii="Times New Roman" w:hAnsi="Times New Roman" w:eastAsia="宋体" w:cs="Times New Roman"/>
                <w:kern w:val="2"/>
                <w:sz w:val="21"/>
                <w:szCs w:val="21"/>
                <w:highlight w:val="none"/>
                <w:lang w:val="en-US" w:eastAsia="zh-CN" w:bidi="ar"/>
              </w:rPr>
              <w:t>、中国人民银行</w:t>
            </w:r>
            <w:r>
              <w:rPr>
                <w:rFonts w:hint="default" w:ascii="Times New Roman" w:hAnsi="Times New Roman" w:eastAsia="宋体" w:cs="Times New Roman"/>
                <w:kern w:val="2"/>
                <w:sz w:val="21"/>
                <w:szCs w:val="21"/>
                <w:highlight w:val="none"/>
                <w:lang w:val="en-US" w:eastAsia="zh-CN" w:bidi="ar"/>
              </w:rPr>
              <w:t>认可的具有良好流动性的货币市场工具。因此根据产品风险收益特征，选取</w:t>
            </w:r>
            <w:r>
              <w:rPr>
                <w:rFonts w:hint="default" w:ascii="Times New Roman" w:hAnsi="Times New Roman" w:eastAsia="宋体" w:cs="Times New Roman"/>
                <w:b/>
                <w:bCs/>
                <w:kern w:val="2"/>
                <w:sz w:val="21"/>
                <w:szCs w:val="21"/>
                <w:highlight w:val="none"/>
                <w:lang w:val="en-US" w:eastAsia="zh-CN" w:bidi="ar"/>
              </w:rPr>
              <w:t>【中国人民银行公布的</w:t>
            </w:r>
            <w:r>
              <w:rPr>
                <w:rFonts w:hint="eastAsia" w:ascii="Times New Roman" w:hAnsi="Times New Roman" w:eastAsia="宋体" w:cs="Times New Roman"/>
                <w:b/>
                <w:bCs/>
                <w:kern w:val="2"/>
                <w:sz w:val="21"/>
                <w:szCs w:val="21"/>
                <w:highlight w:val="none"/>
                <w:lang w:val="en-US" w:eastAsia="zh-CN" w:bidi="ar"/>
              </w:rPr>
              <w:t>七</w:t>
            </w:r>
            <w:r>
              <w:rPr>
                <w:rFonts w:hint="default" w:ascii="Times New Roman" w:hAnsi="Times New Roman" w:eastAsia="宋体" w:cs="Times New Roman"/>
                <w:b/>
                <w:bCs/>
                <w:kern w:val="2"/>
                <w:sz w:val="21"/>
                <w:szCs w:val="21"/>
                <w:highlight w:val="none"/>
                <w:lang w:val="en-US" w:eastAsia="zh-CN" w:bidi="ar"/>
              </w:rPr>
              <w:t>天通知存款利率】</w:t>
            </w:r>
            <w:r>
              <w:rPr>
                <w:rFonts w:hint="eastAsia" w:ascii="Times New Roman" w:hAnsi="Times New Roman" w:eastAsia="宋体" w:cs="Times New Roman"/>
                <w:kern w:val="2"/>
                <w:sz w:val="21"/>
                <w:szCs w:val="21"/>
                <w:highlight w:val="none"/>
                <w:lang w:val="en-US" w:eastAsia="zh-CN" w:bidi="ar"/>
              </w:rPr>
              <w:t>作为业绩比较基准。</w:t>
            </w:r>
            <w:r>
              <w:rPr>
                <w:rStyle w:val="11"/>
                <w:rFonts w:hint="eastAsia"/>
                <w:b/>
                <w:bCs/>
                <w:highlight w:val="none"/>
              </w:rPr>
              <w:t>测算依据仅供参考，不代表产品管理人对本理财产品的任何收益承诺。</w:t>
            </w:r>
          </w:p>
          <w:p>
            <w:pPr>
              <w:spacing w:line="312" w:lineRule="auto"/>
              <w:ind w:firstLine="422" w:firstLineChars="200"/>
              <w:jc w:val="left"/>
              <w:rPr>
                <w:highlight w:val="none"/>
              </w:rPr>
            </w:pPr>
            <w:r>
              <w:rPr>
                <w:rFonts w:hint="eastAsia" w:ascii="宋体" w:hAnsi="宋体" w:cs="宋体"/>
                <w:b/>
                <w:bCs/>
                <w:highlight w:val="none"/>
              </w:rPr>
              <w:t>1.</w:t>
            </w:r>
            <w:r>
              <w:rPr>
                <w:rFonts w:hint="eastAsia" w:ascii="宋体" w:hAnsi="宋体" w:cs="宋体"/>
                <w:b/>
                <w:kern w:val="0"/>
                <w:szCs w:val="21"/>
                <w:highlight w:val="none"/>
                <w:lang w:bidi="ar"/>
              </w:rPr>
              <w:t>本产品为净值型产品，业绩表现将随市场波动，具有不确定性。</w:t>
            </w:r>
            <w:r>
              <w:rPr>
                <w:rFonts w:hint="eastAsia" w:ascii="宋体" w:hAnsi="宋体" w:cs="宋体"/>
                <w:b/>
                <w:color w:val="000000"/>
                <w:kern w:val="0"/>
                <w:highlight w:val="none"/>
                <w:lang w:bidi="ar"/>
              </w:rPr>
              <w:t>业绩比较基准不是预期收益率，</w:t>
            </w:r>
            <w:r>
              <w:rPr>
                <w:rFonts w:hint="eastAsia" w:ascii="宋体" w:hAnsi="宋体" w:cs="宋体"/>
                <w:b/>
                <w:kern w:val="0"/>
                <w:szCs w:val="21"/>
                <w:highlight w:val="none"/>
                <w:lang w:bidi="ar"/>
              </w:rPr>
              <w:t>不代表本理财产品的未来表现和实际收益，也不构成产品管理人对本理财产品收益的承诺，投资须谨慎。本理财产品实际收益率将可能低于业绩比较基准，甚至无法取得任何收益。投资者不应将业绩比较基准作为持有本理财产品份额到期的综合投资收益参考值</w:t>
            </w:r>
            <w:r>
              <w:rPr>
                <w:rFonts w:hint="eastAsia" w:ascii="宋体" w:hAnsi="宋体" w:cs="宋体"/>
                <w:highlight w:val="none"/>
              </w:rPr>
              <w:t>。</w:t>
            </w:r>
          </w:p>
          <w:p>
            <w:pPr>
              <w:spacing w:line="312" w:lineRule="auto"/>
              <w:ind w:firstLine="420" w:firstLineChars="200"/>
              <w:jc w:val="left"/>
              <w:rPr>
                <w:rFonts w:hint="eastAsia"/>
                <w:kern w:val="0"/>
                <w:highlight w:val="none"/>
              </w:rPr>
            </w:pPr>
            <w:r>
              <w:rPr>
                <w:rStyle w:val="11"/>
                <w:rFonts w:hint="eastAsia"/>
                <w:highlight w:val="none"/>
              </w:rPr>
              <w:t>2.理财产品存续期间，产品管理人有权单方根据相关法律法规的变化及市场情况对业绩比较基准进行调整，该调整将至少在变更前3个工作日内进行公告，投资者不接受的，可按本理财产品说明书的约定赎回。如未披露调整，则以</w:t>
            </w:r>
            <w:r>
              <w:rPr>
                <w:rFonts w:hint="eastAsia" w:ascii="宋体" w:hAnsi="宋体" w:cs="宋体"/>
                <w:kern w:val="0"/>
                <w:szCs w:val="21"/>
                <w:highlight w:val="none"/>
                <w:lang w:bidi="ar"/>
              </w:rPr>
              <w:t>最新披露</w:t>
            </w:r>
            <w:r>
              <w:rPr>
                <w:rStyle w:val="11"/>
                <w:rFonts w:hint="eastAsia"/>
                <w:highlight w:val="none"/>
              </w:rPr>
              <w:t>的业绩比较基准为准。</w:t>
            </w:r>
            <w:r>
              <w:rPr>
                <w:rStyle w:val="11"/>
                <w:rFonts w:hint="eastAsia"/>
                <w:b/>
                <w:bCs/>
                <w:highlight w:val="none"/>
              </w:rPr>
              <w:t>如有调整，以披露公告为准。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354" w:hRule="atLeast"/>
        </w:trPr>
        <w:tc>
          <w:tcPr>
            <w:tcW w:w="1937" w:type="dxa"/>
            <w:vAlign w:val="center"/>
          </w:tcPr>
          <w:p>
            <w:pPr>
              <w:widowControl/>
              <w:spacing w:line="315" w:lineRule="atLeast"/>
              <w:jc w:val="center"/>
              <w:rPr>
                <w:b/>
                <w:bCs/>
                <w:kern w:val="0"/>
                <w:highlight w:val="none"/>
              </w:rPr>
            </w:pPr>
            <w:r>
              <w:rPr>
                <w:rFonts w:hint="eastAsia" w:ascii="宋体" w:hAnsi="宋体" w:cs="宋体"/>
                <w:b/>
                <w:szCs w:val="21"/>
                <w:highlight w:val="none"/>
                <w:lang w:bidi="ar"/>
              </w:rPr>
              <w:t>费用</w:t>
            </w:r>
          </w:p>
        </w:tc>
        <w:tc>
          <w:tcPr>
            <w:tcW w:w="7707" w:type="dxa"/>
          </w:tcPr>
          <w:p>
            <w:pPr>
              <w:ind w:firstLine="422" w:firstLineChars="200"/>
              <w:rPr>
                <w:rFonts w:ascii="Times New Roman" w:hAnsi="Times New Roman" w:cs="Times New Roman"/>
                <w:b/>
                <w:bCs/>
                <w:szCs w:val="21"/>
                <w:highlight w:val="none"/>
                <w:lang w:bidi="ar"/>
              </w:rPr>
            </w:pPr>
            <w:r>
              <w:rPr>
                <w:rFonts w:hint="eastAsia" w:ascii="宋体" w:hAnsi="宋体" w:cs="宋体"/>
                <w:b/>
                <w:bCs/>
                <w:szCs w:val="21"/>
                <w:highlight w:val="none"/>
                <w:lang w:bidi="ar"/>
              </w:rPr>
              <w:t>认</w:t>
            </w:r>
            <w:r>
              <w:rPr>
                <w:rFonts w:hint="default" w:ascii="Times New Roman" w:hAnsi="Times New Roman" w:cs="Times New Roman"/>
                <w:b/>
                <w:bCs/>
                <w:szCs w:val="21"/>
                <w:highlight w:val="none"/>
                <w:lang w:bidi="ar"/>
              </w:rPr>
              <w:t>购费/申购费：</w:t>
            </w:r>
            <w:r>
              <w:rPr>
                <w:rFonts w:hint="default" w:ascii="Times New Roman" w:hAnsi="Times New Roman" w:eastAsia="宋体" w:cs="Times New Roman"/>
                <w:b/>
                <w:bCs/>
                <w:kern w:val="2"/>
                <w:sz w:val="21"/>
                <w:szCs w:val="21"/>
                <w:highlight w:val="none"/>
                <w:lang w:val="en-US" w:eastAsia="zh-CN" w:bidi="ar"/>
              </w:rPr>
              <w:t>本理财产品不收取认/申购费</w:t>
            </w:r>
            <w:r>
              <w:rPr>
                <w:rFonts w:hint="default" w:ascii="Times New Roman" w:hAnsi="Times New Roman" w:cs="Times New Roman"/>
                <w:b/>
                <w:bCs/>
                <w:szCs w:val="21"/>
                <w:highlight w:val="none"/>
                <w:lang w:bidi="ar"/>
              </w:rPr>
              <w:t>；</w:t>
            </w:r>
          </w:p>
          <w:p>
            <w:pPr>
              <w:ind w:firstLine="422" w:firstLineChars="200"/>
              <w:rPr>
                <w:rFonts w:hint="default" w:ascii="Times New Roman" w:hAnsi="Times New Roman" w:cs="Times New Roman"/>
                <w:b/>
                <w:bCs/>
                <w:szCs w:val="21"/>
                <w:highlight w:val="none"/>
                <w:lang w:bidi="ar"/>
              </w:rPr>
            </w:pPr>
            <w:r>
              <w:rPr>
                <w:rFonts w:hint="default" w:ascii="Times New Roman" w:hAnsi="Times New Roman" w:cs="Times New Roman"/>
                <w:b/>
                <w:bCs/>
                <w:szCs w:val="21"/>
                <w:highlight w:val="none"/>
                <w:lang w:bidi="ar"/>
              </w:rPr>
              <w:t>托管费率：【</w:t>
            </w:r>
            <w:r>
              <w:rPr>
                <w:rFonts w:hint="default" w:ascii="Times New Roman" w:hAnsi="Times New Roman" w:cs="Times New Roman"/>
                <w:b/>
                <w:bCs/>
                <w:szCs w:val="21"/>
                <w:highlight w:val="none"/>
                <w:lang w:val="en-US" w:eastAsia="zh-CN" w:bidi="ar"/>
              </w:rPr>
              <w:t>0.0</w:t>
            </w:r>
            <w:r>
              <w:rPr>
                <w:rFonts w:hint="eastAsia" w:cs="Times New Roman"/>
                <w:b/>
                <w:bCs/>
                <w:szCs w:val="21"/>
                <w:highlight w:val="none"/>
                <w:lang w:val="en-US" w:eastAsia="zh-CN" w:bidi="ar"/>
              </w:rPr>
              <w:t>2</w:t>
            </w:r>
            <w:r>
              <w:rPr>
                <w:rFonts w:hint="default" w:ascii="Times New Roman" w:hAnsi="Times New Roman" w:cs="Times New Roman"/>
                <w:b/>
                <w:bCs/>
                <w:szCs w:val="21"/>
                <w:highlight w:val="none"/>
                <w:lang w:bidi="ar"/>
              </w:rPr>
              <w:t>】%/年；</w:t>
            </w:r>
          </w:p>
          <w:p>
            <w:pPr>
              <w:ind w:firstLine="422" w:firstLineChars="200"/>
              <w:rPr>
                <w:rFonts w:ascii="Times New Roman" w:hAnsi="Times New Roman" w:cs="Times New Roman"/>
                <w:b/>
                <w:bCs/>
                <w:szCs w:val="21"/>
                <w:highlight w:val="none"/>
                <w:lang w:bidi="ar"/>
              </w:rPr>
            </w:pPr>
            <w:r>
              <w:rPr>
                <w:rFonts w:hint="default" w:ascii="Times New Roman" w:hAnsi="Times New Roman" w:cs="Times New Roman"/>
                <w:b/>
                <w:bCs/>
                <w:szCs w:val="21"/>
                <w:highlight w:val="none"/>
                <w:lang w:bidi="ar"/>
              </w:rPr>
              <w:t>固定管理费率：</w:t>
            </w:r>
            <w:r>
              <w:rPr>
                <w:rFonts w:hint="default" w:ascii="Times New Roman" w:hAnsi="Times New Roman" w:cs="Times New Roman"/>
                <w:b/>
                <w:bCs/>
                <w:szCs w:val="21"/>
                <w:highlight w:val="none"/>
                <w:lang w:eastAsia="zh-CN" w:bidi="ar"/>
              </w:rPr>
              <w:t>【</w:t>
            </w:r>
            <w:r>
              <w:rPr>
                <w:rFonts w:hint="eastAsia" w:cs="Times New Roman"/>
                <w:b/>
                <w:bCs/>
                <w:szCs w:val="21"/>
                <w:highlight w:val="none"/>
                <w:lang w:val="en-US" w:eastAsia="zh-CN" w:bidi="ar"/>
              </w:rPr>
              <w:t>0.20</w:t>
            </w:r>
            <w:r>
              <w:rPr>
                <w:rFonts w:hint="default" w:ascii="Times New Roman" w:hAnsi="Times New Roman" w:cs="Times New Roman"/>
                <w:b/>
                <w:bCs/>
                <w:szCs w:val="21"/>
                <w:highlight w:val="none"/>
                <w:lang w:eastAsia="zh-CN" w:bidi="ar"/>
              </w:rPr>
              <w:t>】</w:t>
            </w:r>
            <w:r>
              <w:rPr>
                <w:rFonts w:hint="default" w:ascii="Times New Roman" w:hAnsi="Times New Roman" w:cs="Times New Roman"/>
                <w:b/>
                <w:bCs/>
                <w:szCs w:val="21"/>
                <w:highlight w:val="none"/>
                <w:lang w:bidi="ar"/>
              </w:rPr>
              <w:t>%/年</w:t>
            </w:r>
            <w:r>
              <w:rPr>
                <w:rFonts w:hint="default" w:ascii="Times New Roman" w:hAnsi="Times New Roman" w:cs="Times New Roman"/>
                <w:b/>
                <w:bCs/>
                <w:kern w:val="2"/>
                <w:sz w:val="21"/>
                <w:szCs w:val="21"/>
                <w:highlight w:val="none"/>
                <w:lang w:val="en-US" w:eastAsia="zh-CN" w:bidi="ar"/>
              </w:rPr>
              <w:t>；</w:t>
            </w:r>
          </w:p>
          <w:p>
            <w:pPr>
              <w:ind w:firstLine="422" w:firstLineChars="200"/>
              <w:rPr>
                <w:rFonts w:ascii="Times New Roman" w:hAnsi="Times New Roman" w:cs="Times New Roman"/>
                <w:b/>
                <w:bCs/>
                <w:szCs w:val="21"/>
                <w:highlight w:val="none"/>
                <w:lang w:bidi="ar"/>
              </w:rPr>
            </w:pPr>
            <w:r>
              <w:rPr>
                <w:rFonts w:hint="default" w:ascii="Times New Roman" w:hAnsi="Times New Roman" w:cs="Times New Roman"/>
                <w:b/>
                <w:bCs/>
                <w:szCs w:val="21"/>
                <w:highlight w:val="none"/>
                <w:lang w:bidi="ar"/>
              </w:rPr>
              <w:t>销售服务费</w:t>
            </w:r>
            <w:r>
              <w:rPr>
                <w:rFonts w:hint="default" w:ascii="Times New Roman" w:hAnsi="Times New Roman" w:cs="Times New Roman"/>
                <w:b/>
                <w:bCs/>
                <w:szCs w:val="21"/>
                <w:highlight w:val="none"/>
                <w:lang w:eastAsia="zh-CN" w:bidi="ar"/>
              </w:rPr>
              <w:t>：</w:t>
            </w:r>
            <w:r>
              <w:rPr>
                <w:rFonts w:hint="default" w:ascii="Times New Roman" w:hAnsi="Times New Roman" w:eastAsia="宋体" w:cs="Times New Roman"/>
                <w:b/>
                <w:bCs/>
                <w:kern w:val="2"/>
                <w:sz w:val="21"/>
                <w:szCs w:val="21"/>
                <w:lang w:val="en-US" w:eastAsia="zh-CN" w:bidi="ar"/>
              </w:rPr>
              <w:t>A份额【</w:t>
            </w:r>
            <w:r>
              <w:rPr>
                <w:rFonts w:hint="eastAsia" w:cs="Times New Roman"/>
                <w:b/>
                <w:bCs/>
                <w:kern w:val="2"/>
                <w:sz w:val="21"/>
                <w:szCs w:val="21"/>
                <w:lang w:val="en-US" w:eastAsia="zh-CN" w:bidi="ar"/>
              </w:rPr>
              <w:t>0.15</w:t>
            </w:r>
            <w:r>
              <w:rPr>
                <w:rFonts w:hint="default" w:ascii="Times New Roman" w:hAnsi="Times New Roman" w:eastAsia="宋体" w:cs="Times New Roman"/>
                <w:b/>
                <w:bCs/>
                <w:kern w:val="2"/>
                <w:sz w:val="21"/>
                <w:szCs w:val="21"/>
                <w:lang w:val="en-US" w:eastAsia="zh-CN" w:bidi="ar"/>
              </w:rPr>
              <w:t>】%/年；B份额【</w:t>
            </w:r>
            <w:r>
              <w:rPr>
                <w:rFonts w:hint="eastAsia" w:cs="Times New Roman"/>
                <w:b/>
                <w:bCs/>
                <w:kern w:val="2"/>
                <w:sz w:val="21"/>
                <w:szCs w:val="21"/>
                <w:lang w:val="en-US" w:eastAsia="zh-CN" w:bidi="ar"/>
              </w:rPr>
              <w:t>0.30</w:t>
            </w:r>
            <w:r>
              <w:rPr>
                <w:rFonts w:hint="default" w:ascii="Times New Roman" w:hAnsi="Times New Roman" w:eastAsia="宋体" w:cs="Times New Roman"/>
                <w:b/>
                <w:bCs/>
                <w:kern w:val="2"/>
                <w:sz w:val="21"/>
                <w:szCs w:val="21"/>
                <w:lang w:val="en-US" w:eastAsia="zh-CN" w:bidi="ar"/>
              </w:rPr>
              <w:t>】%/年；C份额【</w:t>
            </w:r>
            <w:r>
              <w:rPr>
                <w:rFonts w:hint="eastAsia" w:cs="Times New Roman"/>
                <w:b/>
                <w:bCs/>
                <w:kern w:val="2"/>
                <w:sz w:val="21"/>
                <w:szCs w:val="21"/>
                <w:lang w:val="en-US" w:eastAsia="zh-CN" w:bidi="ar"/>
              </w:rPr>
              <w:t>0.10</w:t>
            </w:r>
            <w:r>
              <w:rPr>
                <w:rFonts w:hint="default" w:ascii="Times New Roman" w:hAnsi="Times New Roman" w:eastAsia="宋体" w:cs="Times New Roman"/>
                <w:b/>
                <w:bCs/>
                <w:kern w:val="2"/>
                <w:sz w:val="21"/>
                <w:szCs w:val="21"/>
                <w:lang w:val="en-US" w:eastAsia="zh-CN" w:bidi="ar"/>
              </w:rPr>
              <w:t>】%/年；D份额【</w:t>
            </w:r>
            <w:r>
              <w:rPr>
                <w:rFonts w:hint="eastAsia" w:cs="Times New Roman"/>
                <w:b/>
                <w:bCs/>
                <w:kern w:val="2"/>
                <w:sz w:val="21"/>
                <w:szCs w:val="21"/>
                <w:lang w:val="en-US" w:eastAsia="zh-CN" w:bidi="ar"/>
              </w:rPr>
              <w:t>0.10</w:t>
            </w:r>
            <w:r>
              <w:rPr>
                <w:rFonts w:hint="default" w:ascii="Times New Roman" w:hAnsi="Times New Roman" w:eastAsia="宋体" w:cs="Times New Roman"/>
                <w:b/>
                <w:bCs/>
                <w:kern w:val="2"/>
                <w:sz w:val="21"/>
                <w:szCs w:val="21"/>
                <w:lang w:val="en-US" w:eastAsia="zh-CN" w:bidi="ar"/>
              </w:rPr>
              <w:t>】%/年；E份额【</w:t>
            </w:r>
            <w:r>
              <w:rPr>
                <w:rFonts w:hint="eastAsia" w:cs="Times New Roman"/>
                <w:b/>
                <w:bCs/>
                <w:kern w:val="2"/>
                <w:sz w:val="21"/>
                <w:szCs w:val="21"/>
                <w:lang w:val="en-US" w:eastAsia="zh-CN" w:bidi="ar"/>
              </w:rPr>
              <w:t>0.20</w:t>
            </w:r>
            <w:r>
              <w:rPr>
                <w:rFonts w:hint="default" w:ascii="Times New Roman" w:hAnsi="Times New Roman" w:eastAsia="宋体" w:cs="Times New Roman"/>
                <w:b/>
                <w:bCs/>
                <w:kern w:val="2"/>
                <w:sz w:val="21"/>
                <w:szCs w:val="21"/>
                <w:lang w:val="en-US" w:eastAsia="zh-CN" w:bidi="ar"/>
              </w:rPr>
              <w:t>】%/年</w:t>
            </w:r>
            <w:r>
              <w:rPr>
                <w:rFonts w:hint="default" w:ascii="Times New Roman" w:hAnsi="Times New Roman" w:cs="Times New Roman"/>
                <w:b/>
                <w:bCs/>
                <w:szCs w:val="21"/>
                <w:highlight w:val="none"/>
                <w:lang w:bidi="ar"/>
              </w:rPr>
              <w:t>；</w:t>
            </w:r>
          </w:p>
          <w:p>
            <w:pPr>
              <w:keepNext w:val="0"/>
              <w:keepLines w:val="0"/>
              <w:widowControl w:val="0"/>
              <w:suppressLineNumbers w:val="0"/>
              <w:adjustRightInd w:val="0"/>
              <w:spacing w:before="0" w:beforeAutospacing="0" w:after="0" w:afterAutospacing="0"/>
              <w:ind w:left="0" w:right="0" w:firstLine="211" w:firstLineChars="100"/>
              <w:jc w:val="both"/>
              <w:rPr>
                <w:rFonts w:hint="default" w:ascii="Times New Roman" w:hAnsi="Times New Roman" w:eastAsia="宋体" w:cs="Times New Roman"/>
                <w:kern w:val="2"/>
                <w:sz w:val="21"/>
                <w:szCs w:val="21"/>
                <w:highlight w:val="none"/>
              </w:rPr>
            </w:pPr>
            <w:r>
              <w:rPr>
                <w:rFonts w:ascii="Times New Roman" w:hAnsi="Times New Roman" w:cs="Times New Roman"/>
                <w:b/>
                <w:bCs/>
                <w:szCs w:val="21"/>
                <w:highlight w:val="none"/>
                <w:lang w:bidi="ar"/>
              </w:rPr>
              <w:t xml:space="preserve">  </w:t>
            </w:r>
            <w:r>
              <w:rPr>
                <w:rFonts w:hint="default" w:ascii="Times New Roman" w:hAnsi="Times New Roman" w:cs="Times New Roman"/>
                <w:b/>
                <w:bCs/>
                <w:sz w:val="21"/>
                <w:szCs w:val="21"/>
                <w:highlight w:val="none"/>
                <w:lang w:bidi="ar"/>
              </w:rPr>
              <w:t>赎回费：</w:t>
            </w:r>
            <w:r>
              <w:rPr>
                <w:rFonts w:hint="default" w:ascii="Times New Roman" w:hAnsi="Times New Roman" w:eastAsia="宋体" w:cs="Times New Roman"/>
                <w:kern w:val="2"/>
                <w:sz w:val="21"/>
                <w:szCs w:val="21"/>
                <w:highlight w:val="none"/>
                <w:lang w:val="en-US" w:eastAsia="zh-CN" w:bidi="ar"/>
              </w:rPr>
              <w:t>本理财产品在特定情况下收取强制赎回费，详细内容见“</w:t>
            </w:r>
            <w:r>
              <w:rPr>
                <w:rFonts w:hint="default" w:ascii="Times New Roman" w:hAnsi="Times New Roman" w:eastAsia="宋体" w:cs="Times New Roman"/>
                <w:b/>
                <w:kern w:val="2"/>
                <w:sz w:val="21"/>
                <w:szCs w:val="21"/>
                <w:highlight w:val="none"/>
                <w:lang w:val="en-US" w:eastAsia="zh-CN" w:bidi="ar"/>
              </w:rPr>
              <w:t>理财产品费用</w:t>
            </w:r>
            <w:r>
              <w:rPr>
                <w:rFonts w:hint="default" w:ascii="Times New Roman" w:hAnsi="Times New Roman" w:eastAsia="宋体" w:cs="Times New Roman"/>
                <w:kern w:val="2"/>
                <w:sz w:val="21"/>
                <w:szCs w:val="21"/>
                <w:highlight w:val="none"/>
                <w:lang w:val="en-US" w:eastAsia="zh-CN" w:bidi="ar"/>
              </w:rPr>
              <w:t>”</w:t>
            </w:r>
          </w:p>
          <w:p>
            <w:pPr>
              <w:ind w:firstLine="422" w:firstLineChars="200"/>
              <w:rPr>
                <w:rFonts w:ascii="Times New Roman" w:hAnsi="Times New Roman" w:cs="Times New Roman"/>
                <w:highlight w:val="none"/>
              </w:rPr>
            </w:pPr>
            <w:r>
              <w:rPr>
                <w:rFonts w:hint="default" w:ascii="Times New Roman" w:hAnsi="Times New Roman" w:cs="Times New Roman"/>
                <w:b/>
                <w:bCs/>
                <w:szCs w:val="21"/>
                <w:highlight w:val="none"/>
                <w:lang w:bidi="ar"/>
              </w:rPr>
              <w:t>其他费用（如有）</w:t>
            </w:r>
          </w:p>
          <w:p>
            <w:pPr>
              <w:spacing w:line="312" w:lineRule="auto"/>
              <w:ind w:firstLine="420" w:firstLineChars="200"/>
              <w:jc w:val="left"/>
              <w:rPr>
                <w:rFonts w:hint="eastAsia"/>
                <w:kern w:val="0"/>
                <w:highlight w:val="none"/>
              </w:rPr>
            </w:pPr>
            <w:r>
              <w:rPr>
                <w:rFonts w:hint="eastAsia" w:ascii="宋体" w:hAnsi="宋体" w:cs="宋体"/>
                <w:szCs w:val="21"/>
                <w:highlight w:val="none"/>
                <w:lang w:bidi="ar"/>
              </w:rPr>
              <w:t>具体费用设置详见</w:t>
            </w:r>
            <w:r>
              <w:rPr>
                <w:rFonts w:hint="eastAsia" w:ascii="宋体" w:hAnsi="宋体" w:cs="宋体"/>
                <w:b/>
                <w:bCs/>
                <w:szCs w:val="21"/>
                <w:highlight w:val="none"/>
                <w:lang w:bidi="ar"/>
              </w:rPr>
              <w:t>“理财产品费用”</w:t>
            </w:r>
            <w:r>
              <w:rPr>
                <w:rFonts w:hint="eastAsia" w:ascii="宋体" w:hAnsi="宋体" w:cs="宋体"/>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54" w:hRule="atLeast"/>
        </w:trPr>
        <w:tc>
          <w:tcPr>
            <w:tcW w:w="1937" w:type="dxa"/>
            <w:vAlign w:val="center"/>
          </w:tcPr>
          <w:p>
            <w:pPr>
              <w:widowControl/>
              <w:spacing w:line="315" w:lineRule="atLeast"/>
              <w:jc w:val="center"/>
              <w:rPr>
                <w:highlight w:val="none"/>
              </w:rPr>
            </w:pPr>
            <w:r>
              <w:rPr>
                <w:b/>
                <w:bCs/>
                <w:kern w:val="0"/>
                <w:highlight w:val="none"/>
              </w:rPr>
              <w:t>产品认购期</w:t>
            </w:r>
          </w:p>
        </w:tc>
        <w:tc>
          <w:tcPr>
            <w:tcW w:w="7707" w:type="dxa"/>
            <w:vAlign w:val="center"/>
          </w:tcPr>
          <w:p>
            <w:pPr>
              <w:spacing w:line="312" w:lineRule="auto"/>
              <w:ind w:firstLine="420" w:firstLineChars="200"/>
              <w:jc w:val="left"/>
              <w:rPr>
                <w:rFonts w:ascii="Times New Roman" w:hAnsi="Times New Roman" w:cs="Times New Roman"/>
                <w:szCs w:val="21"/>
                <w:highlight w:val="none"/>
                <w:lang w:bidi="ar"/>
              </w:rPr>
            </w:pPr>
            <w:r>
              <w:rPr>
                <w:rFonts w:hint="default" w:ascii="Times New Roman" w:hAnsi="Times New Roman" w:cs="Times New Roman"/>
                <w:kern w:val="0"/>
                <w:highlight w:val="none"/>
              </w:rPr>
              <w:t>北京时间【</w:t>
            </w:r>
            <w:r>
              <w:rPr>
                <w:rFonts w:hint="default" w:ascii="Times New Roman" w:hAnsi="Times New Roman" w:cs="Times New Roman"/>
                <w:kern w:val="0"/>
                <w:highlight w:val="none"/>
                <w:lang w:val="en-US" w:eastAsia="zh-CN"/>
              </w:rPr>
              <w:t>202</w:t>
            </w:r>
            <w:r>
              <w:rPr>
                <w:rFonts w:hint="eastAsia" w:cs="Times New Roman"/>
                <w:kern w:val="0"/>
                <w:highlight w:val="none"/>
                <w:lang w:val="en-US" w:eastAsia="zh-CN"/>
              </w:rPr>
              <w:t>2</w:t>
            </w:r>
            <w:r>
              <w:rPr>
                <w:rFonts w:hint="default" w:ascii="Times New Roman" w:hAnsi="Times New Roman" w:cs="Times New Roman"/>
                <w:kern w:val="0"/>
                <w:highlight w:val="none"/>
              </w:rPr>
              <w:t>】年【</w:t>
            </w:r>
            <w:r>
              <w:rPr>
                <w:rFonts w:hint="eastAsia" w:cs="Times New Roman"/>
                <w:kern w:val="0"/>
                <w:highlight w:val="none"/>
                <w:lang w:val="en-US" w:eastAsia="zh-CN"/>
              </w:rPr>
              <w:t>4</w:t>
            </w:r>
            <w:r>
              <w:rPr>
                <w:rFonts w:hint="default" w:ascii="Times New Roman" w:hAnsi="Times New Roman" w:cs="Times New Roman"/>
                <w:kern w:val="0"/>
                <w:highlight w:val="none"/>
              </w:rPr>
              <w:t>】月【</w:t>
            </w:r>
            <w:r>
              <w:rPr>
                <w:rFonts w:hint="eastAsia" w:cs="Times New Roman"/>
                <w:kern w:val="0"/>
                <w:highlight w:val="none"/>
                <w:lang w:val="en-US" w:eastAsia="zh-CN"/>
              </w:rPr>
              <w:t>22</w:t>
            </w:r>
            <w:r>
              <w:rPr>
                <w:rFonts w:hint="default" w:ascii="Times New Roman" w:hAnsi="Times New Roman" w:cs="Times New Roman"/>
                <w:kern w:val="0"/>
                <w:highlight w:val="none"/>
              </w:rPr>
              <w:t>】日09：00到【</w:t>
            </w:r>
            <w:r>
              <w:rPr>
                <w:rFonts w:hint="default" w:ascii="Times New Roman" w:hAnsi="Times New Roman" w:cs="Times New Roman"/>
                <w:kern w:val="0"/>
                <w:highlight w:val="none"/>
                <w:lang w:val="en-US" w:eastAsia="zh-CN"/>
              </w:rPr>
              <w:t>202</w:t>
            </w:r>
            <w:r>
              <w:rPr>
                <w:rFonts w:hint="eastAsia" w:cs="Times New Roman"/>
                <w:kern w:val="0"/>
                <w:highlight w:val="none"/>
                <w:lang w:val="en-US" w:eastAsia="zh-CN"/>
              </w:rPr>
              <w:t>2</w:t>
            </w:r>
            <w:r>
              <w:rPr>
                <w:rFonts w:hint="default" w:ascii="Times New Roman" w:hAnsi="Times New Roman" w:cs="Times New Roman"/>
                <w:kern w:val="0"/>
                <w:highlight w:val="none"/>
              </w:rPr>
              <w:t>】年【</w:t>
            </w:r>
            <w:r>
              <w:rPr>
                <w:rFonts w:hint="eastAsia" w:cs="Times New Roman"/>
                <w:kern w:val="0"/>
                <w:highlight w:val="none"/>
                <w:lang w:val="en-US" w:eastAsia="zh-CN"/>
              </w:rPr>
              <w:t>4</w:t>
            </w:r>
            <w:r>
              <w:rPr>
                <w:rFonts w:hint="default" w:ascii="Times New Roman" w:hAnsi="Times New Roman" w:cs="Times New Roman"/>
                <w:kern w:val="0"/>
                <w:highlight w:val="none"/>
              </w:rPr>
              <w:t>】月【</w:t>
            </w:r>
            <w:r>
              <w:rPr>
                <w:rFonts w:hint="eastAsia" w:cs="Times New Roman"/>
                <w:kern w:val="0"/>
                <w:highlight w:val="none"/>
                <w:lang w:val="en-US" w:eastAsia="zh-CN"/>
              </w:rPr>
              <w:t>24</w:t>
            </w:r>
            <w:r>
              <w:rPr>
                <w:rFonts w:hint="default" w:ascii="Times New Roman" w:hAnsi="Times New Roman" w:cs="Times New Roman"/>
                <w:kern w:val="0"/>
                <w:highlight w:val="none"/>
              </w:rPr>
              <w:t>】日15：</w:t>
            </w:r>
            <w:r>
              <w:rPr>
                <w:rFonts w:ascii="Times New Roman" w:hAnsi="Times New Roman" w:cs="Times New Roman"/>
                <w:kern w:val="0"/>
                <w:highlight w:val="none"/>
              </w:rPr>
              <w:t>15</w:t>
            </w:r>
            <w:r>
              <w:rPr>
                <w:rFonts w:hint="default" w:ascii="Times New Roman" w:hAnsi="Times New Roman" w:cs="Times New Roman"/>
                <w:kern w:val="0"/>
                <w:highlight w:val="none"/>
              </w:rPr>
              <w:t>。</w:t>
            </w:r>
          </w:p>
          <w:p>
            <w:pPr>
              <w:spacing w:line="312" w:lineRule="auto"/>
              <w:ind w:firstLine="420" w:firstLineChars="200"/>
              <w:jc w:val="left"/>
              <w:rPr>
                <w:rFonts w:ascii="宋体" w:hAnsi="宋体" w:cs="宋体"/>
                <w:szCs w:val="21"/>
                <w:highlight w:val="none"/>
                <w:lang w:bidi="ar"/>
              </w:rPr>
            </w:pPr>
            <w:r>
              <w:rPr>
                <w:rFonts w:ascii="Times New Roman" w:hAnsi="Times New Roman" w:cs="Times New Roman"/>
                <w:szCs w:val="21"/>
                <w:highlight w:val="none"/>
                <w:lang w:bidi="ar"/>
              </w:rPr>
              <w:t>认购登记日为</w:t>
            </w:r>
            <w:r>
              <w:rPr>
                <w:rFonts w:hint="default" w:ascii="Times New Roman" w:hAnsi="Times New Roman" w:cs="Times New Roman"/>
                <w:szCs w:val="21"/>
                <w:highlight w:val="none"/>
                <w:lang w:bidi="ar"/>
              </w:rPr>
              <w:t>【</w:t>
            </w:r>
            <w:r>
              <w:rPr>
                <w:rFonts w:hint="default" w:ascii="Times New Roman" w:hAnsi="Times New Roman" w:cs="Times New Roman"/>
                <w:szCs w:val="21"/>
                <w:highlight w:val="none"/>
                <w:lang w:val="en-US" w:eastAsia="zh-CN" w:bidi="ar"/>
              </w:rPr>
              <w:t>202</w:t>
            </w:r>
            <w:r>
              <w:rPr>
                <w:rFonts w:hint="eastAsia" w:cs="Times New Roman"/>
                <w:szCs w:val="21"/>
                <w:highlight w:val="none"/>
                <w:lang w:val="en-US" w:eastAsia="zh-CN" w:bidi="ar"/>
              </w:rPr>
              <w:t>2</w:t>
            </w:r>
            <w:r>
              <w:rPr>
                <w:rFonts w:hint="default" w:ascii="Times New Roman" w:hAnsi="Times New Roman" w:cs="Times New Roman"/>
                <w:szCs w:val="21"/>
                <w:highlight w:val="none"/>
                <w:lang w:bidi="ar"/>
              </w:rPr>
              <w:t>】</w:t>
            </w:r>
            <w:r>
              <w:rPr>
                <w:rFonts w:ascii="Times New Roman" w:hAnsi="Times New Roman" w:cs="Times New Roman"/>
                <w:szCs w:val="21"/>
                <w:highlight w:val="none"/>
                <w:lang w:bidi="ar"/>
              </w:rPr>
              <w:t>年</w:t>
            </w:r>
            <w:r>
              <w:rPr>
                <w:rFonts w:hint="default" w:ascii="Times New Roman" w:hAnsi="Times New Roman" w:cs="Times New Roman"/>
                <w:szCs w:val="21"/>
                <w:highlight w:val="none"/>
                <w:lang w:bidi="ar"/>
              </w:rPr>
              <w:t>【</w:t>
            </w:r>
            <w:r>
              <w:rPr>
                <w:rFonts w:hint="eastAsia" w:cs="Times New Roman"/>
                <w:szCs w:val="21"/>
                <w:highlight w:val="none"/>
                <w:lang w:val="en-US" w:eastAsia="zh-CN" w:bidi="ar"/>
              </w:rPr>
              <w:t>4</w:t>
            </w:r>
            <w:r>
              <w:rPr>
                <w:rFonts w:hint="default" w:ascii="Times New Roman" w:hAnsi="Times New Roman" w:cs="Times New Roman"/>
                <w:szCs w:val="21"/>
                <w:highlight w:val="none"/>
                <w:lang w:bidi="ar"/>
              </w:rPr>
              <w:t>】</w:t>
            </w:r>
            <w:r>
              <w:rPr>
                <w:rFonts w:ascii="Times New Roman" w:hAnsi="Times New Roman" w:cs="Times New Roman"/>
                <w:szCs w:val="21"/>
                <w:highlight w:val="none"/>
                <w:lang w:bidi="ar"/>
              </w:rPr>
              <w:t>月</w:t>
            </w:r>
            <w:r>
              <w:rPr>
                <w:rFonts w:hint="default" w:ascii="Times New Roman" w:hAnsi="Times New Roman" w:cs="Times New Roman"/>
                <w:szCs w:val="21"/>
                <w:highlight w:val="none"/>
                <w:lang w:bidi="ar"/>
              </w:rPr>
              <w:t>【</w:t>
            </w:r>
            <w:r>
              <w:rPr>
                <w:rFonts w:hint="eastAsia" w:cs="Times New Roman"/>
                <w:szCs w:val="21"/>
                <w:highlight w:val="none"/>
                <w:lang w:val="en-US" w:eastAsia="zh-CN" w:bidi="ar"/>
              </w:rPr>
              <w:t>25</w:t>
            </w:r>
            <w:r>
              <w:rPr>
                <w:rFonts w:hint="default" w:ascii="Times New Roman" w:hAnsi="Times New Roman" w:cs="Times New Roman"/>
                <w:szCs w:val="21"/>
                <w:highlight w:val="none"/>
                <w:lang w:bidi="ar"/>
              </w:rPr>
              <w:t>】</w:t>
            </w:r>
            <w:r>
              <w:rPr>
                <w:rFonts w:ascii="Times New Roman" w:hAnsi="Times New Roman" w:cs="Times New Roman"/>
                <w:szCs w:val="21"/>
                <w:highlight w:val="none"/>
                <w:lang w:bidi="ar"/>
              </w:rPr>
              <w:t>日，</w:t>
            </w:r>
            <w:r>
              <w:rPr>
                <w:rFonts w:ascii="宋体" w:hAnsi="宋体" w:cs="宋体"/>
                <w:szCs w:val="21"/>
                <w:highlight w:val="none"/>
                <w:lang w:bidi="ar"/>
              </w:rPr>
              <w:t>如遇节假日或其他特殊情况则顺延至下一个工作日。产品管理人在认购登记日对认购期内投资者提交的认购交易的有效性进行确认。投资者须在认购登记日后自行进行成交查询。</w:t>
            </w:r>
          </w:p>
          <w:p>
            <w:pPr>
              <w:spacing w:line="312" w:lineRule="auto"/>
              <w:ind w:firstLine="420" w:firstLineChars="200"/>
              <w:jc w:val="left"/>
              <w:rPr>
                <w:highlight w:val="none"/>
              </w:rPr>
            </w:pPr>
            <w:r>
              <w:rPr>
                <w:rFonts w:ascii="宋体" w:hAnsi="宋体" w:cs="宋体"/>
                <w:szCs w:val="21"/>
                <w:highlight w:val="none"/>
                <w:lang w:bidi="ar"/>
              </w:rPr>
              <w:t>认购期，认购份额面值为1.00元/份。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54" w:hRule="atLeast"/>
        </w:trPr>
        <w:tc>
          <w:tcPr>
            <w:tcW w:w="1937" w:type="dxa"/>
            <w:vAlign w:val="center"/>
          </w:tcPr>
          <w:p>
            <w:pPr>
              <w:widowControl/>
              <w:spacing w:line="315" w:lineRule="atLeast"/>
              <w:jc w:val="center"/>
              <w:rPr>
                <w:rFonts w:ascii="??_GB2312" w:eastAsia="Times New Roman"/>
                <w:b/>
                <w:highlight w:val="none"/>
              </w:rPr>
            </w:pPr>
            <w:r>
              <w:rPr>
                <w:rFonts w:hint="eastAsia"/>
                <w:b/>
                <w:bCs/>
                <w:kern w:val="0"/>
                <w:highlight w:val="none"/>
              </w:rPr>
              <w:t>冷静期</w:t>
            </w:r>
          </w:p>
        </w:tc>
        <w:tc>
          <w:tcPr>
            <w:tcW w:w="7707" w:type="dxa"/>
            <w:vAlign w:val="center"/>
          </w:tcPr>
          <w:p>
            <w:pPr>
              <w:widowControl/>
              <w:spacing w:line="273" w:lineRule="atLeast"/>
              <w:ind w:firstLine="420"/>
              <w:rPr>
                <w:rFonts w:ascii="宋体" w:hAnsi="宋体" w:cs="宋体"/>
                <w:highlight w:val="none"/>
              </w:rPr>
            </w:pPr>
            <w:r>
              <w:rPr>
                <w:rFonts w:hint="eastAsia"/>
                <w:kern w:val="0"/>
                <w:highlight w:val="none"/>
              </w:rPr>
              <w:t>该产品为公募产品，未设置冷静期。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33" w:hRule="atLeast"/>
        </w:trPr>
        <w:tc>
          <w:tcPr>
            <w:tcW w:w="1937" w:type="dxa"/>
            <w:vAlign w:val="center"/>
          </w:tcPr>
          <w:p>
            <w:pPr>
              <w:widowControl/>
              <w:spacing w:line="315" w:lineRule="atLeast"/>
              <w:jc w:val="center"/>
              <w:rPr>
                <w:rFonts w:ascii="??_GB2312" w:eastAsia="Times New Roman"/>
                <w:b/>
                <w:highlight w:val="none"/>
              </w:rPr>
            </w:pPr>
            <w:r>
              <w:rPr>
                <w:b/>
                <w:bCs/>
                <w:kern w:val="0"/>
                <w:highlight w:val="none"/>
              </w:rPr>
              <w:t>产品</w:t>
            </w:r>
            <w:r>
              <w:rPr>
                <w:rFonts w:hint="eastAsia"/>
                <w:b/>
                <w:bCs/>
                <w:kern w:val="0"/>
                <w:highlight w:val="none"/>
              </w:rPr>
              <w:t>成立</w:t>
            </w:r>
            <w:r>
              <w:rPr>
                <w:b/>
                <w:bCs/>
                <w:kern w:val="0"/>
                <w:highlight w:val="none"/>
              </w:rPr>
              <w:t>日</w:t>
            </w:r>
          </w:p>
        </w:tc>
        <w:tc>
          <w:tcPr>
            <w:tcW w:w="7707" w:type="dxa"/>
            <w:vAlign w:val="center"/>
          </w:tcPr>
          <w:p>
            <w:pPr>
              <w:widowControl/>
              <w:spacing w:line="273" w:lineRule="atLeast"/>
              <w:ind w:firstLine="420"/>
              <w:rPr>
                <w:rFonts w:ascii="宋体" w:hAnsi="宋体" w:cs="宋体"/>
                <w:highlight w:val="none"/>
              </w:rPr>
            </w:pPr>
            <w:r>
              <w:rPr>
                <w:rFonts w:hint="default" w:ascii="Times New Roman" w:hAnsi="Times New Roman" w:cs="Times New Roman"/>
                <w:szCs w:val="21"/>
                <w:highlight w:val="none"/>
                <w:lang w:bidi="ar"/>
              </w:rPr>
              <w:t>【</w:t>
            </w:r>
            <w:r>
              <w:rPr>
                <w:rFonts w:hint="default" w:ascii="Times New Roman" w:hAnsi="Times New Roman" w:cs="Times New Roman"/>
                <w:szCs w:val="21"/>
                <w:highlight w:val="none"/>
                <w:lang w:val="en-US" w:eastAsia="zh-CN" w:bidi="ar"/>
              </w:rPr>
              <w:t>202</w:t>
            </w:r>
            <w:r>
              <w:rPr>
                <w:rFonts w:hint="eastAsia" w:cs="Times New Roman"/>
                <w:szCs w:val="21"/>
                <w:highlight w:val="none"/>
                <w:lang w:val="en-US" w:eastAsia="zh-CN" w:bidi="ar"/>
              </w:rPr>
              <w:t>2</w:t>
            </w:r>
            <w:r>
              <w:rPr>
                <w:rFonts w:hint="default" w:ascii="Times New Roman" w:hAnsi="Times New Roman" w:cs="Times New Roman"/>
                <w:szCs w:val="21"/>
                <w:highlight w:val="none"/>
                <w:lang w:bidi="ar"/>
              </w:rPr>
              <w:t>】</w:t>
            </w:r>
            <w:r>
              <w:rPr>
                <w:rFonts w:ascii="Times New Roman" w:hAnsi="Times New Roman" w:cs="Times New Roman"/>
                <w:szCs w:val="21"/>
                <w:highlight w:val="none"/>
                <w:lang w:bidi="ar"/>
              </w:rPr>
              <w:t>年</w:t>
            </w:r>
            <w:r>
              <w:rPr>
                <w:rFonts w:hint="default" w:ascii="Times New Roman" w:hAnsi="Times New Roman" w:cs="Times New Roman"/>
                <w:szCs w:val="21"/>
                <w:highlight w:val="none"/>
                <w:lang w:bidi="ar"/>
              </w:rPr>
              <w:t>【</w:t>
            </w:r>
            <w:r>
              <w:rPr>
                <w:rFonts w:hint="eastAsia" w:cs="Times New Roman"/>
                <w:szCs w:val="21"/>
                <w:highlight w:val="none"/>
                <w:lang w:val="en-US" w:eastAsia="zh-CN" w:bidi="ar"/>
              </w:rPr>
              <w:t>4</w:t>
            </w:r>
            <w:r>
              <w:rPr>
                <w:rFonts w:hint="default" w:ascii="Times New Roman" w:hAnsi="Times New Roman" w:cs="Times New Roman"/>
                <w:szCs w:val="21"/>
                <w:highlight w:val="none"/>
                <w:lang w:bidi="ar"/>
              </w:rPr>
              <w:t>】</w:t>
            </w:r>
            <w:r>
              <w:rPr>
                <w:rFonts w:ascii="Times New Roman" w:hAnsi="Times New Roman" w:cs="Times New Roman"/>
                <w:szCs w:val="21"/>
                <w:highlight w:val="none"/>
                <w:lang w:bidi="ar"/>
              </w:rPr>
              <w:t>月</w:t>
            </w:r>
            <w:r>
              <w:rPr>
                <w:rFonts w:hint="default" w:ascii="Times New Roman" w:hAnsi="Times New Roman" w:cs="Times New Roman"/>
                <w:szCs w:val="21"/>
                <w:highlight w:val="none"/>
                <w:lang w:bidi="ar"/>
              </w:rPr>
              <w:t>【</w:t>
            </w:r>
            <w:r>
              <w:rPr>
                <w:rFonts w:hint="eastAsia" w:cs="Times New Roman"/>
                <w:szCs w:val="21"/>
                <w:highlight w:val="none"/>
                <w:lang w:val="en-US" w:eastAsia="zh-CN" w:bidi="ar"/>
              </w:rPr>
              <w:t>25</w:t>
            </w:r>
            <w:r>
              <w:rPr>
                <w:rFonts w:hint="default" w:ascii="Times New Roman" w:hAnsi="Times New Roman" w:cs="Times New Roman"/>
                <w:szCs w:val="21"/>
                <w:highlight w:val="none"/>
                <w:lang w:bidi="ar"/>
              </w:rPr>
              <w:t>】</w:t>
            </w:r>
            <w:r>
              <w:rPr>
                <w:kern w:val="0"/>
                <w:highlight w:val="none"/>
              </w:rPr>
              <w:t>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88" w:hRule="atLeast"/>
        </w:trPr>
        <w:tc>
          <w:tcPr>
            <w:tcW w:w="1937" w:type="dxa"/>
            <w:vAlign w:val="center"/>
          </w:tcPr>
          <w:p>
            <w:pPr>
              <w:widowControl/>
              <w:spacing w:line="315" w:lineRule="atLeast"/>
              <w:jc w:val="center"/>
              <w:rPr>
                <w:rFonts w:ascii="??_GB2312" w:eastAsia="Times New Roman"/>
                <w:b/>
                <w:highlight w:val="none"/>
              </w:rPr>
            </w:pPr>
            <w:r>
              <w:rPr>
                <w:b/>
                <w:bCs/>
                <w:color w:val="000000"/>
                <w:kern w:val="0"/>
                <w:highlight w:val="none"/>
              </w:rPr>
              <w:t>产品到期日</w:t>
            </w:r>
          </w:p>
        </w:tc>
        <w:tc>
          <w:tcPr>
            <w:tcW w:w="7707" w:type="dxa"/>
            <w:vAlign w:val="center"/>
          </w:tcPr>
          <w:p>
            <w:pPr>
              <w:widowControl/>
              <w:spacing w:line="273" w:lineRule="atLeast"/>
              <w:ind w:firstLine="420"/>
              <w:rPr>
                <w:highlight w:val="none"/>
              </w:rPr>
            </w:pPr>
            <w:r>
              <w:rPr>
                <w:highlight w:val="none"/>
              </w:rPr>
              <w:t>【</w:t>
            </w:r>
            <w:r>
              <w:rPr>
                <w:rFonts w:hint="eastAsia"/>
                <w:highlight w:val="none"/>
                <w:lang w:val="en-US" w:eastAsia="zh-CN"/>
              </w:rPr>
              <w:t>2099</w:t>
            </w:r>
            <w:r>
              <w:rPr>
                <w:highlight w:val="none"/>
              </w:rPr>
              <w:t>】年【</w:t>
            </w:r>
            <w:r>
              <w:rPr>
                <w:rFonts w:hint="eastAsia"/>
                <w:highlight w:val="none"/>
                <w:lang w:val="en-US" w:eastAsia="zh-CN"/>
              </w:rPr>
              <w:t>12</w:t>
            </w:r>
            <w:r>
              <w:rPr>
                <w:highlight w:val="none"/>
              </w:rPr>
              <w:t>】月【</w:t>
            </w:r>
            <w:r>
              <w:rPr>
                <w:rFonts w:hint="eastAsia"/>
                <w:highlight w:val="none"/>
                <w:lang w:val="en-US" w:eastAsia="zh-CN"/>
              </w:rPr>
              <w:t>31</w:t>
            </w:r>
            <w:r>
              <w:rPr>
                <w:highlight w:val="none"/>
              </w:rPr>
              <w:t>】日</w:t>
            </w:r>
          </w:p>
          <w:p>
            <w:pPr>
              <w:pStyle w:val="2"/>
              <w:ind w:firstLine="420" w:firstLineChars="200"/>
              <w:rPr>
                <w:highlight w:val="none"/>
              </w:rPr>
            </w:pPr>
            <w:r>
              <w:rPr>
                <w:rFonts w:hint="eastAsia" w:ascii="宋体" w:hAnsi="宋体" w:cs="宋体"/>
                <w:sz w:val="21"/>
                <w:szCs w:val="21"/>
                <w:highlight w:val="none"/>
                <w:lang w:bidi="ar"/>
              </w:rPr>
              <w:t>产品</w:t>
            </w:r>
            <w:r>
              <w:rPr>
                <w:rFonts w:ascii="宋体" w:hAnsi="宋体" w:cs="宋体"/>
                <w:sz w:val="21"/>
                <w:szCs w:val="21"/>
                <w:highlight w:val="none"/>
                <w:lang w:bidi="ar"/>
              </w:rPr>
              <w:t>管理人有权缩短理财期限。</w:t>
            </w:r>
            <w:r>
              <w:rPr>
                <w:rFonts w:hint="eastAsia" w:ascii="宋体" w:hAnsi="宋体" w:cs="宋体"/>
                <w:sz w:val="21"/>
                <w:szCs w:val="21"/>
                <w:highlight w:val="none"/>
                <w:lang w:bidi="ar"/>
              </w:rPr>
              <w:t>具体内容</w:t>
            </w:r>
            <w:r>
              <w:rPr>
                <w:rFonts w:ascii="宋体" w:hAnsi="宋体" w:cs="宋体"/>
                <w:sz w:val="21"/>
                <w:szCs w:val="21"/>
                <w:highlight w:val="none"/>
                <w:lang w:bidi="ar"/>
              </w:rPr>
              <w:t>详见“</w:t>
            </w:r>
            <w:r>
              <w:rPr>
                <w:rFonts w:ascii="宋体" w:hAnsi="宋体" w:cs="宋体"/>
                <w:b/>
                <w:bCs/>
                <w:sz w:val="21"/>
                <w:szCs w:val="21"/>
                <w:highlight w:val="none"/>
                <w:lang w:bidi="ar"/>
              </w:rPr>
              <w:t>提前终止或产品延期</w:t>
            </w:r>
            <w:r>
              <w:rPr>
                <w:rFonts w:ascii="宋体" w:hAnsi="宋体" w:cs="宋体"/>
                <w:sz w:val="21"/>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09" w:hRule="atLeast"/>
        </w:trPr>
        <w:tc>
          <w:tcPr>
            <w:tcW w:w="1937" w:type="dxa"/>
            <w:vAlign w:val="center"/>
          </w:tcPr>
          <w:p>
            <w:pPr>
              <w:widowControl/>
              <w:spacing w:line="315" w:lineRule="atLeast"/>
              <w:jc w:val="center"/>
              <w:rPr>
                <w:rFonts w:ascii="Calibri" w:hAnsi="Calibri" w:cs="Calibri"/>
                <w:szCs w:val="21"/>
                <w:highlight w:val="none"/>
              </w:rPr>
            </w:pPr>
            <w:r>
              <w:rPr>
                <w:rFonts w:hint="eastAsia" w:ascii="宋体" w:hAnsi="宋体" w:cs="宋体"/>
                <w:b/>
                <w:szCs w:val="21"/>
                <w:highlight w:val="none"/>
                <w:lang w:bidi="ar"/>
              </w:rPr>
              <w:t>产品存续期</w:t>
            </w:r>
          </w:p>
        </w:tc>
        <w:tc>
          <w:tcPr>
            <w:tcW w:w="7707" w:type="dxa"/>
          </w:tcPr>
          <w:p>
            <w:pPr>
              <w:spacing w:line="312" w:lineRule="auto"/>
              <w:ind w:firstLine="420" w:firstLineChars="200"/>
              <w:jc w:val="left"/>
              <w:rPr>
                <w:rFonts w:ascii="Calibri" w:hAnsi="Calibri" w:cs="Calibri"/>
                <w:szCs w:val="21"/>
                <w:highlight w:val="none"/>
              </w:rPr>
            </w:pPr>
            <w:r>
              <w:rPr>
                <w:rFonts w:hint="eastAsia" w:ascii="宋体" w:hAnsi="宋体" w:cs="宋体"/>
                <w:szCs w:val="21"/>
                <w:highlight w:val="none"/>
                <w:lang w:bidi="ar"/>
              </w:rPr>
              <w:t>本产品自成立日起至到期日（或实际终止日）止为本产品的存续期，存续期内的开放日可进行申购</w:t>
            </w:r>
            <w:r>
              <w:rPr>
                <w:rFonts w:ascii="宋体" w:hAnsi="宋体" w:cs="宋体"/>
                <w:szCs w:val="21"/>
                <w:highlight w:val="none"/>
                <w:lang w:bidi="ar"/>
              </w:rPr>
              <w:t>/赎回。</w:t>
            </w:r>
          </w:p>
          <w:p>
            <w:pPr>
              <w:spacing w:line="312" w:lineRule="auto"/>
              <w:ind w:firstLine="420" w:firstLineChars="200"/>
              <w:jc w:val="left"/>
              <w:rPr>
                <w:rFonts w:ascii="Calibri" w:hAnsi="Calibri" w:cs="Calibri"/>
                <w:szCs w:val="21"/>
                <w:highlight w:val="none"/>
              </w:rPr>
            </w:pPr>
            <w:r>
              <w:rPr>
                <w:rFonts w:hint="eastAsia" w:ascii="宋体" w:hAnsi="宋体" w:cs="宋体"/>
                <w:szCs w:val="21"/>
                <w:highlight w:val="none"/>
                <w:lang w:bidi="ar"/>
              </w:rPr>
              <w:t>在理财产品存续期内，管理人有权根据市场情况变化需要调整交易时段或者暂停本理财产品的申购</w:t>
            </w:r>
            <w:r>
              <w:rPr>
                <w:rFonts w:ascii="宋体" w:hAnsi="宋体" w:cs="宋体"/>
                <w:szCs w:val="21"/>
                <w:highlight w:val="none"/>
                <w:lang w:bidi="ar"/>
              </w:rPr>
              <w:t>/赎回，相关调整将以信息披露的形式告知投资者。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73" w:hRule="atLeast"/>
        </w:trPr>
        <w:tc>
          <w:tcPr>
            <w:tcW w:w="1937" w:type="dxa"/>
            <w:vAlign w:val="center"/>
          </w:tcPr>
          <w:p>
            <w:pPr>
              <w:jc w:val="center"/>
              <w:rPr>
                <w:rFonts w:hint="eastAsia" w:ascii="??_GB2312"/>
                <w:b/>
                <w:highlight w:val="none"/>
              </w:rPr>
            </w:pPr>
            <w:r>
              <w:rPr>
                <w:b/>
                <w:bCs/>
                <w:kern w:val="0"/>
                <w:szCs w:val="21"/>
                <w:highlight w:val="none"/>
              </w:rPr>
              <w:t>产品不成立情况</w:t>
            </w:r>
          </w:p>
        </w:tc>
        <w:tc>
          <w:tcPr>
            <w:tcW w:w="7707" w:type="dxa"/>
          </w:tcPr>
          <w:p>
            <w:pPr>
              <w:spacing w:line="312" w:lineRule="auto"/>
              <w:ind w:firstLine="422" w:firstLineChars="200"/>
              <w:jc w:val="left"/>
              <w:rPr>
                <w:b/>
                <w:bCs/>
                <w:szCs w:val="21"/>
                <w:highlight w:val="none"/>
              </w:rPr>
            </w:pPr>
            <w:r>
              <w:rPr>
                <w:b/>
                <w:bCs/>
                <w:kern w:val="0"/>
                <w:szCs w:val="21"/>
                <w:highlight w:val="none"/>
              </w:rPr>
              <w:t>产品认购期结束后，如本理财产品的认购总金额未达到规模下限，或市场发生剧烈波动</w:t>
            </w:r>
            <w:r>
              <w:rPr>
                <w:rFonts w:hint="eastAsia"/>
                <w:b/>
                <w:bCs/>
                <w:kern w:val="0"/>
                <w:szCs w:val="21"/>
                <w:highlight w:val="none"/>
              </w:rPr>
              <w:t>，</w:t>
            </w:r>
            <w:r>
              <w:rPr>
                <w:b/>
                <w:bCs/>
                <w:kern w:val="0"/>
                <w:szCs w:val="21"/>
                <w:highlight w:val="none"/>
              </w:rPr>
              <w:t>经产品管理人合理判断难以按照本</w:t>
            </w:r>
            <w:r>
              <w:rPr>
                <w:rFonts w:hint="eastAsia"/>
                <w:b/>
                <w:bCs/>
                <w:kern w:val="0"/>
                <w:szCs w:val="21"/>
                <w:highlight w:val="none"/>
              </w:rPr>
              <w:t>理财</w:t>
            </w:r>
            <w:r>
              <w:rPr>
                <w:b/>
                <w:bCs/>
                <w:kern w:val="0"/>
                <w:szCs w:val="21"/>
                <w:highlight w:val="none"/>
              </w:rPr>
              <w:t>产品说明书规定向投资者提供本理财产品，则产品管理人有权宣布本理财产品不成立。</w:t>
            </w:r>
          </w:p>
          <w:p>
            <w:pPr>
              <w:widowControl/>
              <w:spacing w:line="312" w:lineRule="auto"/>
              <w:ind w:firstLine="420"/>
              <w:jc w:val="left"/>
              <w:rPr>
                <w:b/>
                <w:bCs/>
                <w:szCs w:val="21"/>
                <w:highlight w:val="none"/>
              </w:rPr>
            </w:pPr>
            <w:r>
              <w:rPr>
                <w:rFonts w:hint="eastAsia" w:asciiTheme="minorEastAsia" w:hAnsiTheme="minorEastAsia" w:eastAsiaTheme="minorEastAsia" w:cstheme="minorEastAsia"/>
                <w:kern w:val="0"/>
                <w:szCs w:val="21"/>
                <w:highlight w:val="none"/>
              </w:rPr>
              <w:t>如理财产品不成立，产品管理人将于原定产品成立日后2个工作日内将已认购资金通过代理销售机构退回至投资者指定账户。</w:t>
            </w:r>
            <w:r>
              <w:rPr>
                <w:rFonts w:hint="eastAsia" w:asciiTheme="minorEastAsia" w:hAnsiTheme="minorEastAsia" w:eastAsiaTheme="minorEastAsia" w:cstheme="minorEastAsia"/>
                <w:b/>
                <w:bCs/>
                <w:szCs w:val="21"/>
                <w:highlight w:val="none"/>
              </w:rPr>
              <w:t>代理销售机构对退回账户、到账日、到账时间另有规定的，以代理销售机构为准。退还投资者认购资金时，认购结束日至资金到账日间不计利息。</w:t>
            </w:r>
          </w:p>
          <w:p>
            <w:pPr>
              <w:spacing w:line="312" w:lineRule="auto"/>
              <w:ind w:firstLine="422" w:firstLineChars="200"/>
              <w:jc w:val="left"/>
              <w:rPr>
                <w:rFonts w:hint="eastAsia"/>
                <w:kern w:val="0"/>
                <w:szCs w:val="21"/>
                <w:highlight w:val="none"/>
              </w:rPr>
            </w:pPr>
            <w:r>
              <w:rPr>
                <w:rFonts w:hint="eastAsia"/>
                <w:b/>
                <w:bCs/>
                <w:szCs w:val="21"/>
                <w:highlight w:val="none"/>
              </w:rPr>
              <w:t>投资者应确保账户状态正常，并及时查询账户资金变动情况。</w:t>
            </w:r>
            <w:r>
              <w:rPr>
                <w:rFonts w:hint="eastAsia"/>
                <w:b/>
                <w:bCs/>
                <w:kern w:val="0"/>
                <w:szCs w:val="21"/>
                <w:highlight w:val="none"/>
              </w:rPr>
              <w:t>如果理财产品不成立，投资者除无法获得本理财产品约定的投资收益外，还将影响其投资安排</w:t>
            </w:r>
            <w:r>
              <w:rPr>
                <w:rFonts w:hint="eastAsia"/>
                <w:b/>
                <w:bCs/>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73" w:hRule="atLeast"/>
        </w:trPr>
        <w:tc>
          <w:tcPr>
            <w:tcW w:w="1937" w:type="dxa"/>
            <w:vAlign w:val="center"/>
          </w:tcPr>
          <w:p>
            <w:pPr>
              <w:jc w:val="center"/>
              <w:rPr>
                <w:rFonts w:ascii="宋体" w:hAnsi="宋体" w:cs="宋体"/>
                <w:b/>
                <w:szCs w:val="21"/>
                <w:highlight w:val="none"/>
                <w:lang w:bidi="ar"/>
              </w:rPr>
            </w:pPr>
            <w:r>
              <w:rPr>
                <w:rFonts w:hint="eastAsia" w:ascii="??_GB2312"/>
                <w:b/>
                <w:highlight w:val="none"/>
              </w:rPr>
              <w:t>单位净值</w:t>
            </w:r>
          </w:p>
        </w:tc>
        <w:tc>
          <w:tcPr>
            <w:tcW w:w="7707" w:type="dxa"/>
            <w:vAlign w:val="center"/>
          </w:tcPr>
          <w:p>
            <w:pPr>
              <w:spacing w:line="312" w:lineRule="auto"/>
              <w:ind w:firstLine="420" w:firstLineChars="200"/>
              <w:jc w:val="left"/>
              <w:rPr>
                <w:kern w:val="0"/>
                <w:szCs w:val="21"/>
                <w:highlight w:val="none"/>
              </w:rPr>
            </w:pPr>
            <w:r>
              <w:rPr>
                <w:rFonts w:hint="eastAsia"/>
                <w:kern w:val="0"/>
                <w:szCs w:val="21"/>
                <w:highlight w:val="none"/>
              </w:rPr>
              <w:t>单位净值为提取相关费用后的理财产品单位份额净值，投资者按该份额净值进行申购、赎回和提前终止时的分配。</w:t>
            </w:r>
          </w:p>
          <w:p>
            <w:pPr>
              <w:spacing w:line="312" w:lineRule="auto"/>
              <w:ind w:firstLine="420" w:firstLineChars="200"/>
              <w:jc w:val="left"/>
              <w:rPr>
                <w:rFonts w:ascii="宋体" w:hAnsi="宋体" w:cs="宋体"/>
                <w:szCs w:val="21"/>
                <w:highlight w:val="none"/>
                <w:lang w:bidi="ar"/>
              </w:rPr>
            </w:pPr>
            <w:r>
              <w:rPr>
                <w:rFonts w:hint="eastAsia"/>
                <w:kern w:val="0"/>
                <w:szCs w:val="21"/>
                <w:highlight w:val="none"/>
              </w:rPr>
              <w:t>本理财产品采用1.00元固定份额净值交易方式，自产品成立日起每个开放日将实现的产品净收益（或净损失）分配给理财产品持有人，并将该部分收益（或损失）按日结转到投资者理财账户，使产品份额净值始终保持1.00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73" w:hRule="atLeast"/>
        </w:trPr>
        <w:tc>
          <w:tcPr>
            <w:tcW w:w="1937" w:type="dxa"/>
            <w:vAlign w:val="center"/>
          </w:tcPr>
          <w:p>
            <w:pPr>
              <w:jc w:val="center"/>
              <w:rPr>
                <w:rFonts w:ascii="??_GB2312"/>
                <w:b/>
                <w:highlight w:val="none"/>
              </w:rPr>
            </w:pPr>
            <w:r>
              <w:rPr>
                <w:rFonts w:hint="eastAsia" w:ascii="宋体" w:hAnsi="宋体" w:cs="宋体"/>
                <w:b/>
                <w:szCs w:val="21"/>
                <w:highlight w:val="none"/>
                <w:lang w:bidi="ar"/>
              </w:rPr>
              <w:t>申购/赎回确认</w:t>
            </w:r>
          </w:p>
        </w:tc>
        <w:tc>
          <w:tcPr>
            <w:tcW w:w="7707" w:type="dxa"/>
          </w:tcPr>
          <w:p>
            <w:pPr>
              <w:spacing w:line="312" w:lineRule="auto"/>
              <w:ind w:firstLine="420" w:firstLineChars="200"/>
              <w:jc w:val="left"/>
              <w:rPr>
                <w:rFonts w:ascii="宋体" w:hAnsi="宋体" w:cs="宋体"/>
                <w:highlight w:val="none"/>
              </w:rPr>
            </w:pPr>
            <w:r>
              <w:rPr>
                <w:rFonts w:hint="eastAsia" w:ascii="宋体" w:hAnsi="宋体" w:cs="宋体"/>
                <w:szCs w:val="21"/>
                <w:highlight w:val="none"/>
                <w:lang w:bidi="ar"/>
              </w:rPr>
              <w:t>管理人在认购登记日、申购/赎回确认日对投资者的认购、申购/赎回进行确认，并为投资者登记、减少份额，投资者应及时查询最终成交确认情况。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73" w:hRule="atLeast"/>
        </w:trPr>
        <w:tc>
          <w:tcPr>
            <w:tcW w:w="1937" w:type="dxa"/>
            <w:vAlign w:val="center"/>
          </w:tcPr>
          <w:p>
            <w:pPr>
              <w:jc w:val="center"/>
              <w:rPr>
                <w:rFonts w:ascii="??_GB2312"/>
                <w:b/>
                <w:highlight w:val="none"/>
              </w:rPr>
            </w:pPr>
            <w:r>
              <w:rPr>
                <w:rFonts w:hint="eastAsia" w:ascii="??_GB2312"/>
                <w:b/>
                <w:highlight w:val="none"/>
              </w:rPr>
              <w:t>开放日</w:t>
            </w:r>
          </w:p>
        </w:tc>
        <w:tc>
          <w:tcPr>
            <w:tcW w:w="7707" w:type="dxa"/>
            <w:vAlign w:val="center"/>
          </w:tcPr>
          <w:p>
            <w:pPr>
              <w:spacing w:line="312" w:lineRule="auto"/>
              <w:ind w:firstLine="420" w:firstLineChars="200"/>
              <w:jc w:val="left"/>
              <w:rPr>
                <w:highlight w:val="none"/>
              </w:rPr>
            </w:pPr>
            <w:r>
              <w:rPr>
                <w:rFonts w:hint="eastAsia" w:ascii="宋体" w:hAnsi="宋体" w:cs="宋体"/>
                <w:highlight w:val="none"/>
              </w:rPr>
              <w:t>本理财产品存续期间，每个工作日为开放日（产品成立日除外），产品管理人在开放日对投资者的申购、赎回申请进行确认。</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38" w:hRule="atLeast"/>
        </w:trPr>
        <w:tc>
          <w:tcPr>
            <w:tcW w:w="1937" w:type="dxa"/>
            <w:vAlign w:val="center"/>
          </w:tcPr>
          <w:p>
            <w:pPr>
              <w:spacing w:line="360" w:lineRule="auto"/>
              <w:jc w:val="center"/>
              <w:rPr>
                <w:rFonts w:ascii="宋体" w:hAnsi="宋体" w:cs="宋体"/>
                <w:b/>
                <w:szCs w:val="21"/>
                <w:highlight w:val="none"/>
                <w:lang w:bidi="ar"/>
              </w:rPr>
            </w:pPr>
            <w:r>
              <w:rPr>
                <w:rFonts w:hint="eastAsia" w:asciiTheme="minorEastAsia" w:hAnsiTheme="minorEastAsia"/>
                <w:b/>
                <w:szCs w:val="21"/>
                <w:highlight w:val="none"/>
              </w:rPr>
              <w:t>受限开放期</w:t>
            </w:r>
          </w:p>
        </w:tc>
        <w:tc>
          <w:tcPr>
            <w:tcW w:w="7707" w:type="dxa"/>
          </w:tcPr>
          <w:p>
            <w:pPr>
              <w:spacing w:line="312" w:lineRule="auto"/>
              <w:ind w:firstLine="420" w:firstLineChars="200"/>
              <w:jc w:val="left"/>
              <w:rPr>
                <w:rFonts w:hint="default" w:eastAsia="宋体" w:cs="宋体" w:asciiTheme="minorEastAsia" w:hAnsiTheme="minorEastAsia"/>
                <w:szCs w:val="21"/>
                <w:highlight w:val="none"/>
                <w:lang w:val="en-US" w:eastAsia="zh-CN"/>
              </w:rPr>
            </w:pPr>
            <w:r>
              <w:rPr>
                <w:rFonts w:hint="eastAsia" w:cs="宋体" w:asciiTheme="minorEastAsia" w:hAnsiTheme="minorEastAsia"/>
                <w:szCs w:val="21"/>
                <w:highlight w:val="none"/>
                <w:lang w:val="en-US" w:eastAsia="zh-CN"/>
              </w:rPr>
              <w:t>本产品不设受限开放期。</w:t>
            </w:r>
          </w:p>
          <w:p>
            <w:pPr>
              <w:spacing w:line="312" w:lineRule="auto"/>
              <w:ind w:firstLine="422" w:firstLineChars="200"/>
              <w:jc w:val="left"/>
              <w:rPr>
                <w:rFonts w:ascii="宋体" w:hAnsi="宋体" w:cs="宋体"/>
                <w:szCs w:val="21"/>
                <w:highlight w:val="none"/>
                <w:lang w:bidi="ar"/>
              </w:rPr>
            </w:pPr>
            <w:r>
              <w:rPr>
                <w:rFonts w:hint="eastAsia" w:cs="宋体" w:asciiTheme="minorEastAsia" w:hAnsiTheme="minorEastAsia"/>
                <w:b/>
                <w:bCs/>
                <w:szCs w:val="21"/>
                <w:highlight w:val="none"/>
              </w:rPr>
              <w:t>受限开放期内产品管理人仅接受申购申请，不接受赎回申请。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24" w:hRule="atLeast"/>
        </w:trPr>
        <w:tc>
          <w:tcPr>
            <w:tcW w:w="1937" w:type="dxa"/>
            <w:vAlign w:val="center"/>
          </w:tcPr>
          <w:p>
            <w:pPr>
              <w:jc w:val="center"/>
              <w:rPr>
                <w:rFonts w:ascii="??_GB2312"/>
                <w:b/>
                <w:highlight w:val="none"/>
              </w:rPr>
            </w:pPr>
            <w:r>
              <w:rPr>
                <w:rFonts w:hint="eastAsia" w:ascii="??_GB2312"/>
                <w:b/>
                <w:highlight w:val="none"/>
              </w:rPr>
              <w:t>撤销规定</w:t>
            </w:r>
          </w:p>
        </w:tc>
        <w:tc>
          <w:tcPr>
            <w:tcW w:w="7707" w:type="dxa"/>
            <w:vAlign w:val="center"/>
          </w:tcPr>
          <w:p>
            <w:pPr>
              <w:spacing w:line="312" w:lineRule="auto"/>
              <w:ind w:firstLine="420" w:firstLineChars="200"/>
              <w:jc w:val="left"/>
              <w:rPr>
                <w:rFonts w:cs="宋体" w:asciiTheme="minorEastAsia" w:hAnsiTheme="minorEastAsia"/>
                <w:szCs w:val="21"/>
                <w:highlight w:val="none"/>
              </w:rPr>
            </w:pPr>
            <w:r>
              <w:rPr>
                <w:rFonts w:hint="eastAsia" w:cs="宋体" w:asciiTheme="minorEastAsia" w:hAnsiTheme="minorEastAsia"/>
                <w:szCs w:val="21"/>
                <w:highlight w:val="none"/>
              </w:rPr>
              <w:t>1.认购撤销</w:t>
            </w:r>
          </w:p>
          <w:p>
            <w:pPr>
              <w:spacing w:line="312" w:lineRule="auto"/>
              <w:ind w:firstLine="420" w:firstLineChars="200"/>
              <w:jc w:val="left"/>
              <w:rPr>
                <w:rFonts w:cs="宋体" w:asciiTheme="minorEastAsia" w:hAnsiTheme="minorEastAsia"/>
                <w:szCs w:val="21"/>
                <w:highlight w:val="none"/>
              </w:rPr>
            </w:pPr>
            <w:r>
              <w:rPr>
                <w:rFonts w:hint="eastAsia" w:cs="宋体" w:asciiTheme="minorEastAsia" w:hAnsiTheme="minorEastAsia"/>
                <w:szCs w:val="21"/>
                <w:highlight w:val="none"/>
              </w:rPr>
              <w:t>投资者可撤销已提交的认购申请，具体规定如下：</w:t>
            </w:r>
          </w:p>
          <w:p>
            <w:pPr>
              <w:spacing w:line="312" w:lineRule="auto"/>
              <w:ind w:firstLine="420" w:firstLineChars="200"/>
              <w:jc w:val="left"/>
              <w:rPr>
                <w:rFonts w:cs="宋体" w:asciiTheme="minorEastAsia" w:hAnsiTheme="minorEastAsia"/>
                <w:szCs w:val="21"/>
                <w:highlight w:val="none"/>
              </w:rPr>
            </w:pPr>
            <w:r>
              <w:rPr>
                <w:rFonts w:cs="宋体" w:asciiTheme="minorEastAsia" w:hAnsiTheme="minorEastAsia"/>
                <w:szCs w:val="21"/>
                <w:highlight w:val="none"/>
              </w:rPr>
              <w:t>(</w:t>
            </w:r>
            <w:r>
              <w:rPr>
                <w:rFonts w:hint="eastAsia" w:cs="宋体" w:asciiTheme="minorEastAsia" w:hAnsiTheme="minorEastAsia"/>
                <w:szCs w:val="21"/>
                <w:highlight w:val="none"/>
              </w:rPr>
              <w:t>1)每笔认购只能全额撤销，不能部分撤销。</w:t>
            </w:r>
          </w:p>
          <w:p>
            <w:pPr>
              <w:spacing w:line="312" w:lineRule="auto"/>
              <w:ind w:firstLine="420" w:firstLineChars="200"/>
              <w:jc w:val="left"/>
              <w:rPr>
                <w:rFonts w:cs="宋体" w:asciiTheme="minorEastAsia" w:hAnsiTheme="minorEastAsia"/>
                <w:szCs w:val="21"/>
                <w:highlight w:val="none"/>
              </w:rPr>
            </w:pPr>
            <w:r>
              <w:rPr>
                <w:rFonts w:cs="宋体" w:asciiTheme="minorEastAsia" w:hAnsiTheme="minorEastAsia"/>
                <w:szCs w:val="21"/>
                <w:highlight w:val="none"/>
              </w:rPr>
              <w:t>(</w:t>
            </w:r>
            <w:r>
              <w:rPr>
                <w:rFonts w:hint="eastAsia" w:cs="宋体" w:asciiTheme="minorEastAsia" w:hAnsiTheme="minorEastAsia"/>
                <w:szCs w:val="21"/>
                <w:highlight w:val="none"/>
              </w:rPr>
              <w:t>2)募集期最后一日17:00（含）之后不能进行撤销。</w:t>
            </w:r>
          </w:p>
          <w:p>
            <w:pPr>
              <w:spacing w:line="312" w:lineRule="auto"/>
              <w:ind w:firstLine="420" w:firstLineChars="200"/>
              <w:jc w:val="left"/>
              <w:rPr>
                <w:rFonts w:cs="宋体" w:asciiTheme="minorEastAsia" w:hAnsiTheme="minorEastAsia"/>
                <w:szCs w:val="21"/>
                <w:highlight w:val="none"/>
              </w:rPr>
            </w:pPr>
            <w:r>
              <w:rPr>
                <w:rFonts w:cs="宋体" w:asciiTheme="minorEastAsia" w:hAnsiTheme="minorEastAsia"/>
                <w:szCs w:val="21"/>
                <w:highlight w:val="none"/>
              </w:rPr>
              <w:t>(</w:t>
            </w:r>
            <w:r>
              <w:rPr>
                <w:rFonts w:hint="eastAsia" w:cs="宋体" w:asciiTheme="minorEastAsia" w:hAnsiTheme="minorEastAsia"/>
                <w:szCs w:val="21"/>
                <w:highlight w:val="none"/>
              </w:rPr>
              <w:t>3)代理销售机构另有规定的，从其规定。</w:t>
            </w:r>
          </w:p>
          <w:p>
            <w:pPr>
              <w:spacing w:line="312" w:lineRule="auto"/>
              <w:ind w:firstLine="420" w:firstLineChars="200"/>
              <w:jc w:val="left"/>
              <w:rPr>
                <w:rFonts w:cs="宋体" w:asciiTheme="minorEastAsia" w:hAnsiTheme="minorEastAsia"/>
                <w:szCs w:val="21"/>
                <w:highlight w:val="none"/>
              </w:rPr>
            </w:pPr>
            <w:r>
              <w:rPr>
                <w:rFonts w:hint="eastAsia" w:cs="宋体" w:asciiTheme="minorEastAsia" w:hAnsiTheme="minorEastAsia"/>
                <w:szCs w:val="21"/>
                <w:highlight w:val="none"/>
              </w:rPr>
              <w:t>2.开放日申购、普通赎回撤销</w:t>
            </w:r>
          </w:p>
          <w:p>
            <w:pPr>
              <w:spacing w:line="312" w:lineRule="auto"/>
              <w:ind w:firstLine="420" w:firstLineChars="200"/>
              <w:jc w:val="left"/>
              <w:rPr>
                <w:rFonts w:cs="宋体" w:asciiTheme="minorEastAsia" w:hAnsiTheme="minorEastAsia"/>
                <w:szCs w:val="21"/>
                <w:highlight w:val="none"/>
              </w:rPr>
            </w:pPr>
            <w:r>
              <w:rPr>
                <w:rFonts w:hint="eastAsia" w:cs="宋体" w:asciiTheme="minorEastAsia" w:hAnsiTheme="minorEastAsia"/>
                <w:szCs w:val="21"/>
                <w:highlight w:val="none"/>
              </w:rPr>
              <w:t>投资者可于开放日交易时段内撤销当日已提交的申购、普通赎回申请。</w:t>
            </w:r>
          </w:p>
          <w:p>
            <w:pPr>
              <w:spacing w:line="312" w:lineRule="auto"/>
              <w:ind w:firstLine="420" w:firstLineChars="200"/>
              <w:jc w:val="left"/>
              <w:rPr>
                <w:rFonts w:cs="宋体" w:asciiTheme="minorEastAsia" w:hAnsiTheme="minorEastAsia"/>
                <w:szCs w:val="21"/>
                <w:highlight w:val="none"/>
              </w:rPr>
            </w:pPr>
            <w:r>
              <w:rPr>
                <w:rFonts w:hint="eastAsia" w:cs="宋体" w:asciiTheme="minorEastAsia" w:hAnsiTheme="minorEastAsia"/>
                <w:szCs w:val="21"/>
                <w:highlight w:val="none"/>
              </w:rPr>
              <w:t>具体规定如下：</w:t>
            </w:r>
          </w:p>
          <w:p>
            <w:pPr>
              <w:spacing w:line="312" w:lineRule="auto"/>
              <w:ind w:firstLine="420" w:firstLineChars="200"/>
              <w:jc w:val="left"/>
              <w:rPr>
                <w:rFonts w:cs="宋体" w:asciiTheme="minorEastAsia" w:hAnsiTheme="minorEastAsia"/>
                <w:szCs w:val="21"/>
                <w:highlight w:val="none"/>
              </w:rPr>
            </w:pPr>
            <w:r>
              <w:rPr>
                <w:rFonts w:cs="宋体" w:asciiTheme="minorEastAsia" w:hAnsiTheme="minorEastAsia"/>
                <w:szCs w:val="21"/>
                <w:highlight w:val="none"/>
              </w:rPr>
              <w:t>(</w:t>
            </w:r>
            <w:r>
              <w:rPr>
                <w:rFonts w:hint="eastAsia" w:cs="宋体" w:asciiTheme="minorEastAsia" w:hAnsiTheme="minorEastAsia"/>
                <w:szCs w:val="21"/>
                <w:highlight w:val="none"/>
              </w:rPr>
              <w:t>1)只能全额撤销。</w:t>
            </w:r>
          </w:p>
          <w:p>
            <w:pPr>
              <w:spacing w:line="312" w:lineRule="auto"/>
              <w:ind w:firstLine="420" w:firstLineChars="200"/>
              <w:jc w:val="left"/>
              <w:rPr>
                <w:rFonts w:cs="宋体" w:asciiTheme="minorEastAsia" w:hAnsiTheme="minorEastAsia"/>
                <w:szCs w:val="21"/>
                <w:highlight w:val="none"/>
              </w:rPr>
            </w:pPr>
            <w:r>
              <w:rPr>
                <w:rFonts w:cs="宋体" w:asciiTheme="minorEastAsia" w:hAnsiTheme="minorEastAsia"/>
                <w:szCs w:val="21"/>
                <w:highlight w:val="none"/>
              </w:rPr>
              <w:t>(2)开放日</w:t>
            </w:r>
            <w:r>
              <w:rPr>
                <w:rFonts w:hint="eastAsia" w:cs="宋体" w:asciiTheme="minorEastAsia" w:hAnsiTheme="minorEastAsia"/>
                <w:szCs w:val="21"/>
                <w:highlight w:val="none"/>
              </w:rPr>
              <w:t>17:00（含）之后不能进行撤销。</w:t>
            </w:r>
          </w:p>
          <w:p>
            <w:pPr>
              <w:spacing w:line="312" w:lineRule="auto"/>
              <w:ind w:firstLine="420" w:firstLineChars="200"/>
              <w:jc w:val="left"/>
              <w:rPr>
                <w:rFonts w:cs="宋体" w:asciiTheme="minorEastAsia" w:hAnsiTheme="minorEastAsia"/>
                <w:szCs w:val="21"/>
                <w:highlight w:val="none"/>
              </w:rPr>
            </w:pPr>
            <w:r>
              <w:rPr>
                <w:rFonts w:cs="宋体" w:asciiTheme="minorEastAsia" w:hAnsiTheme="minorEastAsia"/>
                <w:szCs w:val="21"/>
                <w:highlight w:val="none"/>
              </w:rPr>
              <w:t>(3)</w:t>
            </w:r>
            <w:r>
              <w:rPr>
                <w:rFonts w:hint="eastAsia" w:cs="宋体" w:asciiTheme="minorEastAsia" w:hAnsiTheme="minorEastAsia"/>
                <w:szCs w:val="21"/>
                <w:highlight w:val="none"/>
              </w:rPr>
              <w:t>代理销售机构另有规定的，从其规定。</w:t>
            </w:r>
          </w:p>
          <w:p>
            <w:pPr>
              <w:spacing w:line="312" w:lineRule="auto"/>
              <w:ind w:firstLine="420" w:firstLineChars="200"/>
              <w:jc w:val="left"/>
              <w:rPr>
                <w:rFonts w:cs="宋体" w:asciiTheme="minorEastAsia" w:hAnsiTheme="minorEastAsia"/>
                <w:szCs w:val="21"/>
                <w:highlight w:val="none"/>
              </w:rPr>
            </w:pPr>
            <w:r>
              <w:rPr>
                <w:rFonts w:cs="宋体" w:asciiTheme="minorEastAsia" w:hAnsiTheme="minorEastAsia"/>
                <w:szCs w:val="21"/>
                <w:highlight w:val="none"/>
              </w:rPr>
              <w:t>3.</w:t>
            </w:r>
            <w:r>
              <w:rPr>
                <w:rFonts w:hint="eastAsia" w:cs="宋体" w:asciiTheme="minorEastAsia" w:hAnsiTheme="minorEastAsia"/>
                <w:szCs w:val="21"/>
                <w:highlight w:val="none"/>
              </w:rPr>
              <w:t>快速赎回交易不能撤销。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87" w:hRule="atLeast"/>
        </w:trPr>
        <w:tc>
          <w:tcPr>
            <w:tcW w:w="1937" w:type="dxa"/>
            <w:vAlign w:val="center"/>
          </w:tcPr>
          <w:p>
            <w:pPr>
              <w:widowControl/>
              <w:spacing w:line="315" w:lineRule="atLeast"/>
              <w:jc w:val="center"/>
              <w:rPr>
                <w:rFonts w:ascii="Calibri" w:hAnsi="Calibri" w:cs="Calibri"/>
                <w:szCs w:val="21"/>
                <w:highlight w:val="none"/>
              </w:rPr>
            </w:pPr>
            <w:r>
              <w:rPr>
                <w:rFonts w:hint="eastAsia" w:ascii="宋体" w:hAnsi="宋体" w:cs="宋体"/>
                <w:b/>
                <w:szCs w:val="21"/>
                <w:highlight w:val="none"/>
                <w:lang w:bidi="ar"/>
              </w:rPr>
              <w:t>产品规模</w:t>
            </w:r>
          </w:p>
        </w:tc>
        <w:tc>
          <w:tcPr>
            <w:tcW w:w="7707" w:type="dxa"/>
          </w:tcPr>
          <w:p>
            <w:pPr>
              <w:spacing w:line="312" w:lineRule="auto"/>
              <w:ind w:firstLine="420" w:firstLineChars="200"/>
              <w:jc w:val="left"/>
              <w:rPr>
                <w:rFonts w:ascii="Calibri" w:hAnsi="Calibri" w:cs="Calibri"/>
                <w:szCs w:val="21"/>
                <w:highlight w:val="none"/>
              </w:rPr>
            </w:pPr>
            <w:r>
              <w:rPr>
                <w:rFonts w:hint="eastAsia" w:ascii="宋体" w:hAnsi="宋体" w:cs="宋体"/>
                <w:szCs w:val="21"/>
                <w:highlight w:val="none"/>
                <w:lang w:bidi="ar"/>
              </w:rPr>
              <w:t>本理财产品规模上限为</w:t>
            </w:r>
            <w:r>
              <w:rPr>
                <w:rFonts w:hint="default" w:ascii="Times New Roman" w:hAnsi="Times New Roman" w:cs="Times New Roman"/>
                <w:szCs w:val="21"/>
                <w:highlight w:val="none"/>
                <w:lang w:bidi="ar"/>
              </w:rPr>
              <w:t>【</w:t>
            </w:r>
            <w:r>
              <w:rPr>
                <w:rFonts w:hint="default" w:ascii="Times New Roman" w:hAnsi="Times New Roman" w:eastAsia="宋体" w:cs="Times New Roman"/>
                <w:kern w:val="2"/>
                <w:sz w:val="21"/>
                <w:szCs w:val="21"/>
                <w:lang w:val="en-US" w:eastAsia="zh-CN" w:bidi="ar"/>
              </w:rPr>
              <w:t>200</w:t>
            </w:r>
            <w:r>
              <w:rPr>
                <w:rFonts w:hint="default" w:ascii="Times New Roman" w:hAnsi="Times New Roman" w:cs="Times New Roman"/>
                <w:szCs w:val="21"/>
                <w:highlight w:val="none"/>
                <w:lang w:bidi="ar"/>
              </w:rPr>
              <w:t>】</w:t>
            </w:r>
            <w:r>
              <w:rPr>
                <w:rFonts w:hint="eastAsia" w:ascii="宋体" w:hAnsi="宋体" w:cs="宋体"/>
                <w:szCs w:val="21"/>
                <w:highlight w:val="none"/>
                <w:lang w:bidi="ar"/>
              </w:rPr>
              <w:t>亿元人民币，规模下限为</w:t>
            </w:r>
            <w:r>
              <w:rPr>
                <w:rFonts w:hint="default" w:ascii="Times New Roman" w:hAnsi="Times New Roman" w:cs="Times New Roman"/>
                <w:szCs w:val="21"/>
                <w:highlight w:val="none"/>
                <w:lang w:bidi="ar"/>
              </w:rPr>
              <w:t>【</w:t>
            </w:r>
            <w:r>
              <w:rPr>
                <w:rFonts w:hint="default" w:ascii="Times New Roman" w:hAnsi="Times New Roman" w:cs="Times New Roman"/>
                <w:szCs w:val="21"/>
                <w:highlight w:val="none"/>
                <w:lang w:val="en-US" w:eastAsia="zh-CN" w:bidi="ar"/>
              </w:rPr>
              <w:t>0.3</w:t>
            </w:r>
            <w:r>
              <w:rPr>
                <w:rFonts w:hint="default" w:ascii="Times New Roman" w:hAnsi="Times New Roman" w:cs="Times New Roman"/>
                <w:szCs w:val="21"/>
                <w:highlight w:val="none"/>
                <w:lang w:bidi="ar"/>
              </w:rPr>
              <w:t>】</w:t>
            </w:r>
            <w:r>
              <w:rPr>
                <w:rFonts w:hint="eastAsia" w:ascii="宋体" w:hAnsi="宋体" w:cs="宋体"/>
                <w:szCs w:val="21"/>
                <w:highlight w:val="none"/>
                <w:lang w:bidi="ar"/>
              </w:rPr>
              <w:t>亿元人民币。产品管理人有权根据产品募集情况、运作情况等调整产品规模。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40" w:hRule="atLeast"/>
        </w:trPr>
        <w:tc>
          <w:tcPr>
            <w:tcW w:w="1937" w:type="dxa"/>
            <w:vAlign w:val="center"/>
          </w:tcPr>
          <w:p>
            <w:pPr>
              <w:jc w:val="center"/>
              <w:rPr>
                <w:rFonts w:ascii="??_GB2312"/>
                <w:b/>
                <w:highlight w:val="none"/>
              </w:rPr>
            </w:pPr>
            <w:r>
              <w:rPr>
                <w:rFonts w:hint="eastAsia" w:ascii="??_GB2312"/>
                <w:b/>
                <w:highlight w:val="none"/>
              </w:rPr>
              <w:t>估值日</w:t>
            </w:r>
          </w:p>
        </w:tc>
        <w:tc>
          <w:tcPr>
            <w:tcW w:w="7707" w:type="dxa"/>
            <w:vAlign w:val="center"/>
          </w:tcPr>
          <w:p>
            <w:pPr>
              <w:spacing w:line="312" w:lineRule="auto"/>
              <w:ind w:left="181" w:leftChars="86" w:firstLine="420" w:firstLineChars="200"/>
              <w:jc w:val="left"/>
              <w:rPr>
                <w:rFonts w:ascii="Calibri" w:hAnsi="Calibri" w:cs="Calibri"/>
                <w:szCs w:val="21"/>
                <w:highlight w:val="none"/>
              </w:rPr>
            </w:pPr>
            <w:r>
              <w:rPr>
                <w:rFonts w:ascii="Calibri" w:hAnsi="Calibri" w:cs="Calibri"/>
                <w:szCs w:val="21"/>
                <w:highlight w:val="none"/>
              </w:rPr>
              <w:t>产品存续期内，</w:t>
            </w:r>
            <w:r>
              <w:rPr>
                <w:rFonts w:hint="eastAsia" w:ascii="Calibri" w:hAnsi="Calibri" w:cs="Calibri"/>
                <w:szCs w:val="21"/>
                <w:highlight w:val="none"/>
              </w:rPr>
              <w:t>每个</w:t>
            </w:r>
            <w:r>
              <w:rPr>
                <w:rFonts w:hint="eastAsia" w:ascii="Calibri" w:hAnsi="Calibri" w:cs="Calibri"/>
                <w:szCs w:val="21"/>
                <w:highlight w:val="none"/>
                <w:lang w:eastAsia="zh-CN"/>
              </w:rPr>
              <w:t>自然</w:t>
            </w:r>
            <w:r>
              <w:rPr>
                <w:rFonts w:hint="eastAsia" w:ascii="Calibri" w:hAnsi="Calibri" w:cs="Calibri"/>
                <w:szCs w:val="21"/>
                <w:highlight w:val="none"/>
              </w:rPr>
              <w:t>日为估值日。产品管理人</w:t>
            </w:r>
            <w:r>
              <w:rPr>
                <w:rFonts w:ascii="Calibri" w:hAnsi="Calibri" w:cs="Calibri"/>
                <w:szCs w:val="21"/>
                <w:highlight w:val="none"/>
              </w:rPr>
              <w:t>于每个</w:t>
            </w:r>
            <w:r>
              <w:rPr>
                <w:rFonts w:hint="eastAsia" w:ascii="Calibri" w:hAnsi="Calibri" w:cs="Calibri"/>
                <w:szCs w:val="21"/>
                <w:highlight w:val="none"/>
                <w:lang w:eastAsia="zh-CN"/>
              </w:rPr>
              <w:t>【自然日】</w:t>
            </w:r>
            <w:r>
              <w:rPr>
                <w:rFonts w:ascii="Calibri" w:hAnsi="Calibri" w:cs="Calibri"/>
                <w:szCs w:val="21"/>
                <w:highlight w:val="none"/>
              </w:rPr>
              <w:t>计算</w:t>
            </w:r>
            <w:r>
              <w:rPr>
                <w:rFonts w:hint="eastAsia" w:ascii="Calibri" w:hAnsi="Calibri" w:cs="Calibri"/>
                <w:szCs w:val="21"/>
                <w:highlight w:val="none"/>
              </w:rPr>
              <w:t>理财产品每万份收益和七日年化收益率，并</w:t>
            </w:r>
            <w:r>
              <w:rPr>
                <w:rFonts w:ascii="Calibri" w:hAnsi="Calibri" w:cs="Calibri"/>
                <w:szCs w:val="21"/>
                <w:highlight w:val="none"/>
              </w:rPr>
              <w:t>于</w:t>
            </w:r>
            <w:r>
              <w:rPr>
                <w:rFonts w:hint="eastAsia" w:ascii="Calibri" w:hAnsi="Calibri" w:cs="Calibri"/>
                <w:szCs w:val="21"/>
                <w:highlight w:val="none"/>
              </w:rPr>
              <w:t>每个估值日下一工作日</w:t>
            </w:r>
            <w:r>
              <w:rPr>
                <w:rFonts w:ascii="Calibri" w:hAnsi="Calibri" w:cs="Calibri"/>
                <w:szCs w:val="21"/>
                <w:highlight w:val="none"/>
              </w:rPr>
              <w:t>公布</w:t>
            </w:r>
            <w:r>
              <w:rPr>
                <w:rFonts w:hint="eastAsia" w:ascii="Calibri" w:hAnsi="Calibri" w:cs="Calibri"/>
                <w:szCs w:val="21"/>
                <w:highlight w:val="none"/>
              </w:rPr>
              <w:t>。</w:t>
            </w:r>
          </w:p>
          <w:p>
            <w:pPr>
              <w:spacing w:line="312" w:lineRule="auto"/>
              <w:ind w:left="181" w:leftChars="86" w:firstLine="420" w:firstLineChars="200"/>
              <w:jc w:val="left"/>
              <w:rPr>
                <w:szCs w:val="21"/>
                <w:highlight w:val="none"/>
              </w:rPr>
            </w:pPr>
            <w:r>
              <w:rPr>
                <w:szCs w:val="21"/>
                <w:highlight w:val="none"/>
              </w:rPr>
              <w:t>每万份收益是按照相关法规计算的每万份份额的日已实现收益，精确到小数点后第4位，小数点后第5位四舍五入。七日年化收益率是以最近7日（含节假日）收益所折算的年资产收益率，精确到百分号内小数点后2位，百分号内小数点后第3位四舍五入。国家另有规定的，从其规定。</w:t>
            </w:r>
          </w:p>
          <w:p>
            <w:pPr>
              <w:spacing w:line="312" w:lineRule="auto"/>
              <w:ind w:left="181" w:leftChars="86" w:firstLine="420" w:firstLineChars="200"/>
              <w:jc w:val="left"/>
              <w:rPr>
                <w:rFonts w:ascii="Calibri" w:hAnsi="Calibri" w:cs="Calibri"/>
                <w:szCs w:val="21"/>
                <w:highlight w:val="none"/>
              </w:rPr>
            </w:pPr>
            <w:r>
              <w:rPr>
                <w:rFonts w:hint="eastAsia" w:cs="宋体" w:asciiTheme="minorEastAsia" w:hAnsiTheme="minorEastAsia"/>
                <w:szCs w:val="21"/>
                <w:highlight w:val="none"/>
              </w:rPr>
              <w:t>具体内容详见“</w:t>
            </w:r>
            <w:r>
              <w:rPr>
                <w:rFonts w:hint="eastAsia" w:cs="宋体" w:asciiTheme="minorEastAsia" w:hAnsiTheme="minorEastAsia"/>
                <w:b/>
                <w:bCs/>
                <w:szCs w:val="21"/>
                <w:highlight w:val="none"/>
              </w:rPr>
              <w:t>理财产品估值</w:t>
            </w:r>
            <w:r>
              <w:rPr>
                <w:rFonts w:hint="eastAsia" w:cs="宋体" w:asciiTheme="minorEastAsia" w:hAnsiTheme="minorEastAsia"/>
                <w:szCs w:val="21"/>
                <w:highlight w:val="none"/>
              </w:rPr>
              <w:t>”。如遇特殊情况，以产品管理人公告为准。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96" w:hRule="atLeast"/>
        </w:trPr>
        <w:tc>
          <w:tcPr>
            <w:tcW w:w="1937" w:type="dxa"/>
            <w:tcBorders>
              <w:bottom w:val="single" w:color="auto" w:sz="6" w:space="0"/>
            </w:tcBorders>
            <w:vAlign w:val="center"/>
          </w:tcPr>
          <w:p>
            <w:pPr>
              <w:jc w:val="center"/>
              <w:rPr>
                <w:rFonts w:ascii="??_GB2312"/>
                <w:b/>
                <w:highlight w:val="none"/>
              </w:rPr>
            </w:pPr>
            <w:r>
              <w:rPr>
                <w:rFonts w:hint="eastAsia" w:ascii="??_GB2312"/>
                <w:b/>
                <w:highlight w:val="none"/>
              </w:rPr>
              <w:t>收益分配</w:t>
            </w:r>
          </w:p>
        </w:tc>
        <w:tc>
          <w:tcPr>
            <w:tcW w:w="7707" w:type="dxa"/>
            <w:tcBorders>
              <w:bottom w:val="single" w:color="auto" w:sz="6" w:space="0"/>
            </w:tcBorders>
            <w:vAlign w:val="center"/>
          </w:tcPr>
          <w:p>
            <w:pPr>
              <w:spacing w:line="312" w:lineRule="auto"/>
              <w:ind w:firstLine="420" w:firstLineChars="200"/>
              <w:jc w:val="left"/>
              <w:rPr>
                <w:kern w:val="0"/>
                <w:szCs w:val="21"/>
                <w:highlight w:val="none"/>
              </w:rPr>
            </w:pPr>
            <w:r>
              <w:rPr>
                <w:rFonts w:hint="eastAsia"/>
                <w:kern w:val="0"/>
                <w:szCs w:val="21"/>
                <w:highlight w:val="none"/>
              </w:rPr>
              <w:t>本理财产品根据每日理财产品收益情况，以理财产品每万份收益为基准，为投资者每日计算当日收益，收益支付方式采用红利再投方式（即红利转产品份额，如果上一日出现负收益，需相应核减投资者的份额），投资者可通过赎回产品份额获得现金收益。</w:t>
            </w:r>
          </w:p>
          <w:p>
            <w:pPr>
              <w:spacing w:line="312" w:lineRule="auto"/>
              <w:ind w:firstLine="420" w:firstLineChars="200"/>
              <w:jc w:val="left"/>
              <w:rPr>
                <w:kern w:val="0"/>
                <w:szCs w:val="21"/>
                <w:highlight w:val="none"/>
              </w:rPr>
            </w:pPr>
            <w:r>
              <w:rPr>
                <w:rFonts w:hint="eastAsia"/>
                <w:kern w:val="0"/>
                <w:szCs w:val="21"/>
                <w:highlight w:val="none"/>
              </w:rPr>
              <w:t>投资者自认购/申购确认日当日开始享有收益分配权益；自赎回确认日当日起不再享有收益分配权益，快速赎回另行约定。理财产品份额保留到小数点后2位，小数点后2位以后的部分四舍五入。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96" w:hRule="atLeast"/>
        </w:trPr>
        <w:tc>
          <w:tcPr>
            <w:tcW w:w="1937" w:type="dxa"/>
            <w:tcBorders>
              <w:bottom w:val="single" w:color="auto" w:sz="6" w:space="0"/>
            </w:tcBorders>
            <w:vAlign w:val="center"/>
          </w:tcPr>
          <w:p>
            <w:pPr>
              <w:jc w:val="center"/>
              <w:rPr>
                <w:rFonts w:ascii="??_GB2312"/>
                <w:b/>
                <w:highlight w:val="none"/>
              </w:rPr>
            </w:pPr>
            <w:r>
              <w:rPr>
                <w:rFonts w:hint="eastAsia" w:ascii="??_GB2312"/>
                <w:b/>
                <w:highlight w:val="none"/>
              </w:rPr>
              <w:t>认（申）购起点</w:t>
            </w:r>
          </w:p>
        </w:tc>
        <w:tc>
          <w:tcPr>
            <w:tcW w:w="7707" w:type="dxa"/>
            <w:tcBorders>
              <w:bottom w:val="single" w:color="auto" w:sz="6" w:space="0"/>
            </w:tcBorders>
            <w:vAlign w:val="center"/>
          </w:tcPr>
          <w:p>
            <w:pPr>
              <w:spacing w:line="312" w:lineRule="auto"/>
              <w:ind w:firstLine="420" w:firstLineChars="200"/>
              <w:jc w:val="left"/>
              <w:rPr>
                <w:kern w:val="0"/>
                <w:szCs w:val="21"/>
                <w:highlight w:val="none"/>
              </w:rPr>
            </w:pPr>
            <w:r>
              <w:rPr>
                <w:rFonts w:hint="eastAsia" w:ascii="Times New Roman" w:hAnsi="Times New Roman" w:eastAsia="宋体" w:cs="Times New Roman"/>
                <w:kern w:val="0"/>
                <w:sz w:val="21"/>
                <w:szCs w:val="21"/>
                <w:lang w:val="en-US" w:eastAsia="zh-CN" w:bidi="ar"/>
              </w:rPr>
              <w:t>投资者首次认购单笔最低限额为</w:t>
            </w:r>
            <w:r>
              <w:rPr>
                <w:rFonts w:hint="default" w:ascii="Times New Roman" w:hAnsi="Times New Roman" w:eastAsia="宋体" w:cs="Times New Roman"/>
                <w:kern w:val="0"/>
                <w:sz w:val="21"/>
                <w:szCs w:val="21"/>
                <w:lang w:val="en-US" w:eastAsia="zh-CN" w:bidi="ar"/>
              </w:rPr>
              <w:t>10000</w:t>
            </w:r>
            <w:r>
              <w:rPr>
                <w:rFonts w:hint="eastAsia" w:ascii="宋体" w:hAnsi="宋体" w:eastAsia="宋体" w:cs="宋体"/>
                <w:kern w:val="0"/>
                <w:sz w:val="21"/>
                <w:szCs w:val="21"/>
                <w:lang w:val="en-US" w:eastAsia="zh-CN" w:bidi="ar"/>
              </w:rPr>
              <w:t>元，高于认购单笔最低限额的金额须为</w:t>
            </w:r>
            <w:r>
              <w:rPr>
                <w:rFonts w:hint="default" w:ascii="Times New Roman" w:hAnsi="Times New Roman" w:eastAsia="宋体" w:cs="Times New Roman"/>
                <w:kern w:val="0"/>
                <w:sz w:val="21"/>
                <w:szCs w:val="21"/>
                <w:lang w:val="en-US" w:eastAsia="zh-CN" w:bidi="ar"/>
              </w:rPr>
              <w:t>1</w:t>
            </w:r>
            <w:r>
              <w:rPr>
                <w:rFonts w:hint="eastAsia" w:ascii="宋体" w:hAnsi="宋体" w:eastAsia="宋体" w:cs="宋体"/>
                <w:kern w:val="0"/>
                <w:sz w:val="21"/>
                <w:szCs w:val="21"/>
                <w:lang w:val="en-US" w:eastAsia="zh-CN" w:bidi="ar"/>
              </w:rPr>
              <w:t>元的整数倍。</w:t>
            </w:r>
            <w:r>
              <w:rPr>
                <w:rFonts w:hint="eastAsia" w:ascii="Times New Roman" w:hAnsi="Times New Roman" w:eastAsia="宋体" w:cs="Times New Roman"/>
                <w:b/>
                <w:kern w:val="0"/>
                <w:sz w:val="21"/>
                <w:szCs w:val="21"/>
                <w:lang w:val="en-US" w:eastAsia="zh-CN" w:bidi="ar"/>
              </w:rPr>
              <w:t>自</w:t>
            </w:r>
            <w:r>
              <w:rPr>
                <w:rFonts w:hint="default" w:ascii="Times New Roman" w:hAnsi="Times New Roman" w:eastAsia="宋体" w:cs="Times New Roman"/>
                <w:b/>
                <w:kern w:val="0"/>
                <w:sz w:val="21"/>
                <w:szCs w:val="21"/>
                <w:lang w:val="en-US" w:eastAsia="zh-CN" w:bidi="ar"/>
              </w:rPr>
              <w:t>2022</w:t>
            </w:r>
            <w:r>
              <w:rPr>
                <w:rFonts w:hint="eastAsia" w:ascii="宋体" w:hAnsi="宋体" w:eastAsia="宋体" w:cs="宋体"/>
                <w:b/>
                <w:kern w:val="0"/>
                <w:sz w:val="21"/>
                <w:szCs w:val="21"/>
                <w:lang w:val="en-US" w:eastAsia="zh-CN" w:bidi="ar"/>
              </w:rPr>
              <w:t>年</w:t>
            </w:r>
            <w:r>
              <w:rPr>
                <w:rFonts w:hint="default" w:ascii="Times New Roman" w:hAnsi="Times New Roman" w:eastAsia="宋体" w:cs="Times New Roman"/>
                <w:b/>
                <w:kern w:val="0"/>
                <w:sz w:val="21"/>
                <w:szCs w:val="21"/>
                <w:lang w:val="en-US" w:eastAsia="zh-CN" w:bidi="ar"/>
              </w:rPr>
              <w:t>9</w:t>
            </w:r>
            <w:r>
              <w:rPr>
                <w:rFonts w:hint="eastAsia" w:ascii="宋体" w:hAnsi="宋体" w:eastAsia="宋体" w:cs="宋体"/>
                <w:b/>
                <w:kern w:val="0"/>
                <w:sz w:val="21"/>
                <w:szCs w:val="21"/>
                <w:lang w:val="en-US" w:eastAsia="zh-CN" w:bidi="ar"/>
              </w:rPr>
              <w:t>月</w:t>
            </w:r>
            <w:r>
              <w:rPr>
                <w:rFonts w:hint="default" w:ascii="Times New Roman" w:hAnsi="Times New Roman" w:eastAsia="宋体" w:cs="Times New Roman"/>
                <w:b/>
                <w:kern w:val="0"/>
                <w:sz w:val="21"/>
                <w:szCs w:val="21"/>
                <w:lang w:val="en-US" w:eastAsia="zh-CN" w:bidi="ar"/>
              </w:rPr>
              <w:t>22</w:t>
            </w:r>
            <w:r>
              <w:rPr>
                <w:rFonts w:hint="eastAsia" w:ascii="宋体" w:hAnsi="宋体" w:eastAsia="宋体" w:cs="宋体"/>
                <w:b/>
                <w:kern w:val="0"/>
                <w:sz w:val="21"/>
                <w:szCs w:val="21"/>
                <w:lang w:val="en-US" w:eastAsia="zh-CN" w:bidi="ar"/>
              </w:rPr>
              <w:t>日起，申购单笔最低限额为</w:t>
            </w:r>
            <w:r>
              <w:rPr>
                <w:rFonts w:hint="default" w:ascii="Times New Roman" w:hAnsi="Times New Roman" w:eastAsia="宋体" w:cs="Times New Roman"/>
                <w:b/>
                <w:kern w:val="0"/>
                <w:sz w:val="21"/>
                <w:szCs w:val="21"/>
                <w:lang w:val="en-US" w:eastAsia="zh-CN" w:bidi="ar"/>
              </w:rPr>
              <w:t>1</w:t>
            </w:r>
            <w:r>
              <w:rPr>
                <w:rFonts w:hint="eastAsia" w:ascii="宋体" w:hAnsi="宋体" w:eastAsia="宋体" w:cs="宋体"/>
                <w:b/>
                <w:kern w:val="0"/>
                <w:sz w:val="21"/>
                <w:szCs w:val="21"/>
                <w:lang w:val="en-US" w:eastAsia="zh-CN" w:bidi="ar"/>
              </w:rPr>
              <w:t>元，高于申购单笔最低限额的金额须为</w:t>
            </w:r>
            <w:r>
              <w:rPr>
                <w:rFonts w:hint="default" w:ascii="Times New Roman" w:hAnsi="Times New Roman" w:eastAsia="宋体" w:cs="Times New Roman"/>
                <w:b/>
                <w:kern w:val="0"/>
                <w:sz w:val="21"/>
                <w:szCs w:val="21"/>
                <w:lang w:val="en-US" w:eastAsia="zh-CN" w:bidi="ar"/>
              </w:rPr>
              <w:t>1</w:t>
            </w:r>
            <w:r>
              <w:rPr>
                <w:rFonts w:hint="eastAsia" w:ascii="宋体" w:hAnsi="宋体" w:eastAsia="宋体" w:cs="宋体"/>
                <w:b/>
                <w:kern w:val="0"/>
                <w:sz w:val="21"/>
                <w:szCs w:val="21"/>
                <w:lang w:val="en-US" w:eastAsia="zh-CN" w:bidi="ar"/>
              </w:rPr>
              <w:t>元的整数倍。</w:t>
            </w:r>
            <w:bookmarkStart w:id="2" w:name="_Hlk104728082"/>
            <w:r>
              <w:rPr>
                <w:rFonts w:hint="eastAsia"/>
                <w:kern w:val="0"/>
                <w:szCs w:val="21"/>
                <w:highlight w:val="none"/>
              </w:rPr>
              <w:t>（如该产品通过代理销售机构渠道销售的，具体以代理销售机构规则为准</w:t>
            </w:r>
            <w:r>
              <w:rPr>
                <w:rFonts w:hint="eastAsia" w:ascii="宋体" w:hAnsi="宋体" w:cs="宋体"/>
                <w:color w:val="000000"/>
                <w:szCs w:val="21"/>
                <w:highlight w:val="none"/>
                <w:lang w:bidi="ar"/>
              </w:rPr>
              <w:t>，但不得低于上述起点金额</w:t>
            </w:r>
            <w:r>
              <w:rPr>
                <w:rFonts w:hint="eastAsia"/>
                <w:kern w:val="0"/>
                <w:szCs w:val="21"/>
                <w:highlight w:val="none"/>
              </w:rPr>
              <w:t>）</w:t>
            </w:r>
            <w:bookmarkEnd w:id="2"/>
          </w:p>
          <w:p>
            <w:pPr>
              <w:autoSpaceDE w:val="0"/>
              <w:autoSpaceDN w:val="0"/>
              <w:adjustRightInd w:val="0"/>
              <w:spacing w:line="312" w:lineRule="auto"/>
              <w:ind w:firstLine="420" w:firstLineChars="200"/>
              <w:jc w:val="left"/>
              <w:rPr>
                <w:kern w:val="0"/>
                <w:szCs w:val="21"/>
                <w:highlight w:val="none"/>
              </w:rPr>
            </w:pPr>
            <w:r>
              <w:rPr>
                <w:rFonts w:hint="eastAsia"/>
                <w:kern w:val="0"/>
                <w:szCs w:val="21"/>
                <w:highlight w:val="none"/>
              </w:rPr>
              <w:t>产品管理人有权对认（申）购起点进行调整，并在2个工作日内披露相应信息。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96" w:hRule="atLeast"/>
        </w:trPr>
        <w:tc>
          <w:tcPr>
            <w:tcW w:w="1937" w:type="dxa"/>
            <w:tcBorders>
              <w:top w:val="single" w:color="auto" w:sz="6" w:space="0"/>
              <w:bottom w:val="single" w:color="auto" w:sz="6" w:space="0"/>
            </w:tcBorders>
            <w:vAlign w:val="center"/>
          </w:tcPr>
          <w:p>
            <w:pPr>
              <w:spacing w:line="360" w:lineRule="auto"/>
              <w:jc w:val="center"/>
              <w:rPr>
                <w:rFonts w:ascii="宋体" w:hAnsi="宋体" w:cs="宋体"/>
                <w:b/>
                <w:szCs w:val="21"/>
                <w:highlight w:val="none"/>
                <w:lang w:bidi="ar"/>
              </w:rPr>
            </w:pPr>
            <w:r>
              <w:rPr>
                <w:rFonts w:hint="eastAsia"/>
                <w:b/>
                <w:bCs/>
                <w:kern w:val="0"/>
                <w:szCs w:val="21"/>
                <w:highlight w:val="none"/>
              </w:rPr>
              <w:t>单一投资者持有份额上限</w:t>
            </w:r>
          </w:p>
        </w:tc>
        <w:tc>
          <w:tcPr>
            <w:tcW w:w="7707" w:type="dxa"/>
            <w:tcBorders>
              <w:top w:val="single" w:color="auto" w:sz="6" w:space="0"/>
              <w:bottom w:val="single" w:color="auto" w:sz="6" w:space="0"/>
            </w:tcBorders>
          </w:tcPr>
          <w:p>
            <w:pPr>
              <w:spacing w:line="312" w:lineRule="auto"/>
              <w:ind w:firstLine="420" w:firstLineChars="200"/>
              <w:jc w:val="left"/>
              <w:rPr>
                <w:kern w:val="0"/>
                <w:szCs w:val="21"/>
                <w:highlight w:val="none"/>
              </w:rPr>
            </w:pPr>
            <w:r>
              <w:rPr>
                <w:rFonts w:hint="eastAsia"/>
                <w:kern w:val="0"/>
                <w:szCs w:val="21"/>
                <w:highlight w:val="none"/>
              </w:rPr>
              <w:t>1.【</w:t>
            </w:r>
            <w:r>
              <w:rPr>
                <w:rFonts w:hint="eastAsia"/>
                <w:kern w:val="0"/>
                <w:szCs w:val="21"/>
                <w:highlight w:val="none"/>
                <w:lang w:val="en-US" w:eastAsia="zh-CN"/>
              </w:rPr>
              <w:t>4</w:t>
            </w:r>
            <w:r>
              <w:rPr>
                <w:rFonts w:hint="eastAsia" w:ascii="Times New Roman" w:hAnsi="Times New Roman" w:eastAsia="宋体" w:cs="Times New Roman"/>
                <w:kern w:val="0"/>
                <w:sz w:val="21"/>
                <w:szCs w:val="21"/>
                <w:lang w:val="en-US" w:eastAsia="zh-CN" w:bidi="ar"/>
              </w:rPr>
              <w:t>0000</w:t>
            </w:r>
            <w:r>
              <w:rPr>
                <w:rFonts w:hint="eastAsia"/>
                <w:kern w:val="0"/>
                <w:szCs w:val="21"/>
                <w:highlight w:val="none"/>
              </w:rPr>
              <w:t>】万份，产品管理人有权对此进行调整，具体以产品管理人公告为准。当单一投资者累计持有份额超过该上限时，产品管理人有权拒绝或暂停接受该投资者的认购/申购申请。</w:t>
            </w:r>
          </w:p>
          <w:p>
            <w:pPr>
              <w:spacing w:line="312" w:lineRule="auto"/>
              <w:ind w:firstLine="420" w:firstLineChars="200"/>
              <w:jc w:val="left"/>
              <w:rPr>
                <w:szCs w:val="21"/>
                <w:highlight w:val="none"/>
              </w:rPr>
            </w:pPr>
            <w:r>
              <w:rPr>
                <w:rFonts w:hint="eastAsia"/>
                <w:kern w:val="0"/>
                <w:szCs w:val="21"/>
                <w:highlight w:val="none"/>
              </w:rPr>
              <w:t>2.单一投资者持有产品份额不得超过产品份额总数的50%，对于非主观原因导致突破的，在单一投资者持有</w:t>
            </w:r>
            <w:bookmarkStart w:id="14" w:name="_GoBack"/>
            <w:bookmarkEnd w:id="14"/>
            <w:r>
              <w:rPr>
                <w:rFonts w:hint="eastAsia"/>
                <w:kern w:val="0"/>
                <w:szCs w:val="21"/>
                <w:highlight w:val="none"/>
              </w:rPr>
              <w:t>比例降至50%以下之前，管理人不得再接受该投资者对该理财产品的认购/申购申请。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96" w:hRule="atLeast"/>
        </w:trPr>
        <w:tc>
          <w:tcPr>
            <w:tcW w:w="1937" w:type="dxa"/>
            <w:tcBorders>
              <w:top w:val="single" w:color="auto" w:sz="6" w:space="0"/>
              <w:bottom w:val="single" w:color="auto" w:sz="6" w:space="0"/>
            </w:tcBorders>
            <w:vAlign w:val="center"/>
          </w:tcPr>
          <w:p>
            <w:pPr>
              <w:widowControl/>
              <w:spacing w:line="315" w:lineRule="atLeast"/>
              <w:jc w:val="center"/>
              <w:rPr>
                <w:rFonts w:ascii="Calibri" w:hAnsi="Calibri" w:cs="Calibri"/>
                <w:szCs w:val="21"/>
                <w:highlight w:val="none"/>
              </w:rPr>
            </w:pPr>
            <w:r>
              <w:rPr>
                <w:rFonts w:hint="eastAsia" w:ascii="宋体" w:hAnsi="宋体" w:cs="宋体"/>
                <w:b/>
                <w:szCs w:val="21"/>
                <w:highlight w:val="none"/>
                <w:lang w:bidi="ar"/>
              </w:rPr>
              <w:t>管理人/产品管理人</w:t>
            </w:r>
          </w:p>
        </w:tc>
        <w:tc>
          <w:tcPr>
            <w:tcW w:w="7707" w:type="dxa"/>
            <w:tcBorders>
              <w:top w:val="single" w:color="auto" w:sz="6" w:space="0"/>
              <w:bottom w:val="single" w:color="auto" w:sz="6" w:space="0"/>
            </w:tcBorders>
            <w:vAlign w:val="center"/>
          </w:tcPr>
          <w:p>
            <w:pPr>
              <w:widowControl/>
              <w:spacing w:line="273" w:lineRule="atLeast"/>
              <w:ind w:firstLine="420"/>
              <w:jc w:val="left"/>
              <w:rPr>
                <w:rFonts w:ascii="Calibri" w:hAnsi="Calibri" w:cs="Calibri"/>
                <w:szCs w:val="21"/>
                <w:highlight w:val="none"/>
              </w:rPr>
            </w:pPr>
            <w:r>
              <w:rPr>
                <w:rFonts w:hint="eastAsia" w:ascii="宋体" w:hAnsi="宋体" w:cs="宋体"/>
                <w:szCs w:val="21"/>
                <w:highlight w:val="none"/>
                <w:lang w:bidi="ar"/>
              </w:rPr>
              <w:t>恒丰理财有限责任公司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96" w:hRule="atLeast"/>
        </w:trPr>
        <w:tc>
          <w:tcPr>
            <w:tcW w:w="1937" w:type="dxa"/>
            <w:tcBorders>
              <w:top w:val="single" w:color="auto" w:sz="6" w:space="0"/>
              <w:bottom w:val="single" w:color="auto" w:sz="6" w:space="0"/>
            </w:tcBorders>
            <w:vAlign w:val="center"/>
          </w:tcPr>
          <w:p>
            <w:pPr>
              <w:widowControl/>
              <w:spacing w:line="315" w:lineRule="atLeast"/>
              <w:jc w:val="center"/>
              <w:rPr>
                <w:rFonts w:ascii="Calibri" w:hAnsi="Calibri" w:cs="Calibri"/>
                <w:szCs w:val="21"/>
                <w:highlight w:val="none"/>
              </w:rPr>
            </w:pPr>
            <w:r>
              <w:rPr>
                <w:rFonts w:hint="eastAsia" w:ascii="宋体" w:hAnsi="宋体" w:cs="宋体"/>
                <w:b/>
                <w:szCs w:val="21"/>
                <w:highlight w:val="none"/>
                <w:lang w:bidi="ar"/>
              </w:rPr>
              <w:t>托管人/产品托管人</w:t>
            </w:r>
          </w:p>
        </w:tc>
        <w:tc>
          <w:tcPr>
            <w:tcW w:w="7707" w:type="dxa"/>
            <w:tcBorders>
              <w:top w:val="single" w:color="auto" w:sz="6" w:space="0"/>
              <w:bottom w:val="single" w:color="auto" w:sz="6" w:space="0"/>
            </w:tcBorders>
            <w:vAlign w:val="center"/>
          </w:tcPr>
          <w:p>
            <w:pPr>
              <w:widowControl/>
              <w:spacing w:line="273" w:lineRule="atLeast"/>
              <w:ind w:firstLine="420"/>
              <w:jc w:val="left"/>
              <w:rPr>
                <w:rFonts w:hint="eastAsia" w:ascii="Calibri" w:hAnsi="Calibri" w:eastAsia="宋体" w:cs="Calibri"/>
                <w:szCs w:val="21"/>
                <w:highlight w:val="none"/>
                <w:lang w:eastAsia="zh-CN"/>
              </w:rPr>
            </w:pPr>
            <w:r>
              <w:rPr>
                <w:rFonts w:hint="eastAsia" w:ascii="宋体" w:hAnsi="宋体" w:cs="宋体"/>
                <w:szCs w:val="21"/>
                <w:highlight w:val="none"/>
                <w:lang w:eastAsia="zh-CN" w:bidi="ar"/>
              </w:rPr>
              <w:t>【</w:t>
            </w:r>
            <w:r>
              <w:rPr>
                <w:rFonts w:hint="eastAsia" w:ascii="宋体" w:hAnsi="宋体" w:eastAsia="宋体" w:cs="宋体"/>
                <w:kern w:val="2"/>
                <w:sz w:val="21"/>
                <w:szCs w:val="21"/>
                <w:lang w:val="en-US" w:eastAsia="zh-CN" w:bidi="ar"/>
              </w:rPr>
              <w:t>恒丰银行股份有限公司</w:t>
            </w:r>
            <w:r>
              <w:rPr>
                <w:rFonts w:hint="eastAsia" w:ascii="宋体" w:hAnsi="宋体" w:cs="宋体"/>
                <w:szCs w:val="21"/>
                <w:highlight w:val="none"/>
                <w:lang w:eastAsia="zh-CN" w:bidi="ar"/>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96" w:hRule="atLeast"/>
        </w:trPr>
        <w:tc>
          <w:tcPr>
            <w:tcW w:w="1937" w:type="dxa"/>
            <w:tcBorders>
              <w:top w:val="single" w:color="auto" w:sz="6" w:space="0"/>
              <w:bottom w:val="single" w:color="auto" w:sz="6" w:space="0"/>
            </w:tcBorders>
            <w:vAlign w:val="center"/>
          </w:tcPr>
          <w:p>
            <w:pPr>
              <w:widowControl/>
              <w:spacing w:line="315" w:lineRule="atLeast"/>
              <w:jc w:val="center"/>
              <w:rPr>
                <w:rFonts w:ascii="Calibri" w:hAnsi="Calibri" w:cs="Calibri"/>
                <w:szCs w:val="21"/>
                <w:highlight w:val="none"/>
              </w:rPr>
            </w:pPr>
            <w:r>
              <w:rPr>
                <w:rFonts w:hint="eastAsia" w:ascii="宋体" w:hAnsi="宋体" w:cs="宋体"/>
                <w:b/>
                <w:szCs w:val="21"/>
                <w:highlight w:val="none"/>
                <w:lang w:bidi="ar"/>
              </w:rPr>
              <w:t>赎回资金到账日</w:t>
            </w:r>
          </w:p>
        </w:tc>
        <w:tc>
          <w:tcPr>
            <w:tcW w:w="7707" w:type="dxa"/>
            <w:tcBorders>
              <w:top w:val="single" w:color="auto" w:sz="6" w:space="0"/>
              <w:bottom w:val="single" w:color="auto" w:sz="6" w:space="0"/>
            </w:tcBorders>
          </w:tcPr>
          <w:p>
            <w:pPr>
              <w:spacing w:line="312" w:lineRule="auto"/>
              <w:ind w:firstLine="420" w:firstLineChars="200"/>
              <w:jc w:val="left"/>
              <w:rPr>
                <w:rFonts w:ascii="Calibri" w:hAnsi="Calibri" w:cs="Calibri"/>
                <w:szCs w:val="21"/>
                <w:highlight w:val="none"/>
              </w:rPr>
            </w:pPr>
            <w:r>
              <w:rPr>
                <w:rFonts w:hint="eastAsia" w:ascii="宋体" w:hAnsi="宋体" w:cs="宋体"/>
                <w:szCs w:val="21"/>
                <w:highlight w:val="none"/>
                <w:lang w:bidi="ar"/>
              </w:rPr>
              <w:t>投资者申请赎回份额，由产品管理人确认后，赎回资金将于3个工作日内根据实际投资结果通过代理销售机构将投资者赎回资金划转至投资者指定账户。</w:t>
            </w:r>
            <w:r>
              <w:rPr>
                <w:rFonts w:hint="eastAsia" w:ascii="宋体" w:hAnsi="宋体" w:cs="宋体"/>
                <w:b/>
                <w:bCs/>
                <w:szCs w:val="21"/>
                <w:highlight w:val="none"/>
                <w:lang w:bidi="ar"/>
              </w:rPr>
              <w:t>代理销售机构对到账账户、到账日、到账时间另有规定的，以代理销售机构为准。如遇特殊情况（如巨额赎回）可能延迟</w:t>
            </w:r>
            <w:r>
              <w:rPr>
                <w:rFonts w:cs="宋体" w:asciiTheme="minorEastAsia" w:hAnsiTheme="minorEastAsia"/>
                <w:b/>
                <w:bCs/>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96" w:hRule="atLeast"/>
        </w:trPr>
        <w:tc>
          <w:tcPr>
            <w:tcW w:w="1937" w:type="dxa"/>
            <w:tcBorders>
              <w:top w:val="single" w:color="auto" w:sz="6" w:space="0"/>
              <w:bottom w:val="single" w:color="auto" w:sz="6" w:space="0"/>
            </w:tcBorders>
            <w:vAlign w:val="center"/>
          </w:tcPr>
          <w:p>
            <w:pPr>
              <w:widowControl/>
              <w:spacing w:line="315" w:lineRule="atLeast"/>
              <w:jc w:val="center"/>
              <w:rPr>
                <w:rFonts w:ascii="Calibri" w:hAnsi="Calibri" w:cs="Calibri"/>
                <w:szCs w:val="21"/>
                <w:highlight w:val="none"/>
              </w:rPr>
            </w:pPr>
            <w:r>
              <w:rPr>
                <w:rFonts w:hint="eastAsia" w:ascii="宋体" w:hAnsi="宋体" w:cs="宋体"/>
                <w:b/>
                <w:szCs w:val="21"/>
                <w:highlight w:val="none"/>
                <w:lang w:bidi="ar"/>
              </w:rPr>
              <w:t>巨额赎回</w:t>
            </w:r>
          </w:p>
        </w:tc>
        <w:tc>
          <w:tcPr>
            <w:tcW w:w="7707" w:type="dxa"/>
            <w:tcBorders>
              <w:top w:val="single" w:color="auto" w:sz="6" w:space="0"/>
              <w:bottom w:val="single" w:color="auto" w:sz="6" w:space="0"/>
            </w:tcBorders>
          </w:tcPr>
          <w:p>
            <w:pPr>
              <w:spacing w:line="312" w:lineRule="auto"/>
              <w:ind w:firstLine="420" w:firstLineChars="200"/>
              <w:jc w:val="left"/>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1</w:t>
            </w:r>
            <w:r>
              <w:rPr>
                <w:rFonts w:cs="宋体" w:asciiTheme="minorEastAsia" w:hAnsiTheme="minorEastAsia" w:eastAsiaTheme="minorEastAsia"/>
                <w:color w:val="000000" w:themeColor="text1"/>
                <w:szCs w:val="21"/>
                <w:highlight w:val="none"/>
                <w14:textFill>
                  <w14:solidFill>
                    <w14:schemeClr w14:val="tx1"/>
                  </w14:solidFill>
                </w14:textFill>
              </w:rPr>
              <w:t>.</w:t>
            </w:r>
            <w:r>
              <w:rPr>
                <w:rFonts w:hint="eastAsia" w:cs="宋体" w:asciiTheme="minorEastAsia" w:hAnsiTheme="minorEastAsia" w:eastAsiaTheme="minorEastAsia"/>
                <w:color w:val="000000" w:themeColor="text1"/>
                <w:szCs w:val="21"/>
                <w:highlight w:val="none"/>
                <w14:textFill>
                  <w14:solidFill>
                    <w14:schemeClr w14:val="tx1"/>
                  </w14:solidFill>
                </w14:textFill>
              </w:rPr>
              <w:t>任一赎回开放日产品累计净赎回申请（赎回申请份额总数扣除申购申请份额总数）超过本理财产品上一工作日产品总份额</w:t>
            </w:r>
            <w:r>
              <w:rPr>
                <w:rFonts w:cs="宋体" w:asciiTheme="minorEastAsia" w:hAnsiTheme="minorEastAsia" w:eastAsiaTheme="minorEastAsia"/>
                <w:color w:val="000000" w:themeColor="text1"/>
                <w:szCs w:val="21"/>
                <w:highlight w:val="none"/>
                <w14:textFill>
                  <w14:solidFill>
                    <w14:schemeClr w14:val="tx1"/>
                  </w14:solidFill>
                </w14:textFill>
              </w:rPr>
              <w:t>10%</w:t>
            </w:r>
            <w:r>
              <w:rPr>
                <w:rFonts w:hint="eastAsia" w:cs="宋体" w:asciiTheme="minorEastAsia" w:hAnsiTheme="minorEastAsia" w:eastAsiaTheme="minorEastAsia"/>
                <w:color w:val="000000" w:themeColor="text1"/>
                <w:szCs w:val="21"/>
                <w:highlight w:val="none"/>
                <w14:textFill>
                  <w14:solidFill>
                    <w14:schemeClr w14:val="tx1"/>
                  </w14:solidFill>
                </w14:textFill>
              </w:rPr>
              <w:t>时，即为发生巨额赎回。</w:t>
            </w:r>
          </w:p>
          <w:p>
            <w:pPr>
              <w:spacing w:line="312" w:lineRule="auto"/>
              <w:ind w:firstLine="420" w:firstLineChars="200"/>
              <w:jc w:val="left"/>
              <w:rPr>
                <w:rFonts w:ascii="Calibri" w:hAnsi="Calibri" w:cs="Calibri"/>
                <w:szCs w:val="21"/>
                <w:highlight w:val="none"/>
              </w:rPr>
            </w:pPr>
            <w:r>
              <w:rPr>
                <w:rFonts w:hint="eastAsia" w:cs="宋体" w:asciiTheme="minorEastAsia" w:hAnsiTheme="minorEastAsia" w:eastAsiaTheme="minorEastAsia"/>
                <w:color w:val="000000" w:themeColor="text1"/>
                <w:szCs w:val="21"/>
                <w:highlight w:val="none"/>
                <w14:textFill>
                  <w14:solidFill>
                    <w14:schemeClr w14:val="tx1"/>
                  </w14:solidFill>
                </w14:textFill>
              </w:rPr>
              <w:t>2</w:t>
            </w:r>
            <w:r>
              <w:rPr>
                <w:rFonts w:cs="宋体" w:asciiTheme="minorEastAsia" w:hAnsiTheme="minorEastAsia" w:eastAsiaTheme="minorEastAsia"/>
                <w:color w:val="000000" w:themeColor="text1"/>
                <w:szCs w:val="21"/>
                <w:highlight w:val="none"/>
                <w14:textFill>
                  <w14:solidFill>
                    <w14:schemeClr w14:val="tx1"/>
                  </w14:solidFill>
                </w14:textFill>
              </w:rPr>
              <w:t>.</w:t>
            </w:r>
            <w:r>
              <w:rPr>
                <w:rFonts w:hint="eastAsia" w:cs="宋体" w:asciiTheme="minorEastAsia" w:hAnsiTheme="minorEastAsia" w:eastAsiaTheme="minorEastAsia"/>
                <w:color w:val="000000" w:themeColor="text1"/>
                <w:szCs w:val="21"/>
                <w:highlight w:val="none"/>
                <w14:textFill>
                  <w14:solidFill>
                    <w14:schemeClr w14:val="tx1"/>
                  </w14:solidFill>
                </w14:textFill>
              </w:rPr>
              <w:t>发生巨额赎回时</w:t>
            </w:r>
            <w:r>
              <w:rPr>
                <w:rFonts w:hint="eastAsia" w:cs="宋体" w:asciiTheme="minorEastAsia" w:hAnsiTheme="minorEastAsia" w:eastAsiaTheme="minorEastAsia"/>
                <w:b/>
                <w:bCs/>
                <w:color w:val="000000" w:themeColor="text1"/>
                <w:szCs w:val="21"/>
                <w:highlight w:val="none"/>
                <w14:textFill>
                  <w14:solidFill>
                    <w14:schemeClr w14:val="tx1"/>
                  </w14:solidFill>
                </w14:textFill>
              </w:rPr>
              <w:t>，产品管理人有权拒绝超出巨额赎回申请部分的赎回申请，并最迟于巨额赎回发生后3个工作日内进行公告。</w:t>
            </w:r>
            <w:r>
              <w:rPr>
                <w:rFonts w:hint="eastAsia" w:cs="宋体" w:asciiTheme="minorEastAsia" w:hAnsiTheme="minorEastAsia" w:eastAsiaTheme="minorEastAsia"/>
                <w:color w:val="000000" w:themeColor="text1"/>
                <w:szCs w:val="21"/>
                <w:highlight w:val="none"/>
                <w14:textFill>
                  <w14:solidFill>
                    <w14:schemeClr w14:val="tx1"/>
                  </w14:solidFill>
                </w14:textFill>
              </w:rPr>
              <w:t>具体内容详见“</w:t>
            </w:r>
            <w:r>
              <w:rPr>
                <w:rFonts w:hint="eastAsia" w:cs="宋体" w:asciiTheme="minorEastAsia" w:hAnsiTheme="minorEastAsia" w:eastAsiaTheme="minorEastAsia"/>
                <w:b/>
                <w:bCs/>
                <w:color w:val="000000" w:themeColor="text1"/>
                <w:szCs w:val="21"/>
                <w:highlight w:val="none"/>
                <w14:textFill>
                  <w14:solidFill>
                    <w14:schemeClr w14:val="tx1"/>
                  </w14:solidFill>
                </w14:textFill>
              </w:rPr>
              <w:t>理财产品的申购、赎回</w:t>
            </w:r>
            <w:r>
              <w:rPr>
                <w:rFonts w:hint="eastAsia" w:cs="宋体" w:asciiTheme="minorEastAsia" w:hAnsiTheme="minorEastAsia" w:eastAsiaTheme="minorEastAsia"/>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96" w:hRule="atLeast"/>
        </w:trPr>
        <w:tc>
          <w:tcPr>
            <w:tcW w:w="1937" w:type="dxa"/>
            <w:tcBorders>
              <w:top w:val="single" w:color="auto" w:sz="6" w:space="0"/>
              <w:bottom w:val="single" w:color="auto" w:sz="6" w:space="0"/>
            </w:tcBorders>
            <w:vAlign w:val="center"/>
          </w:tcPr>
          <w:p>
            <w:pPr>
              <w:jc w:val="center"/>
              <w:rPr>
                <w:rFonts w:ascii="??_GB2312"/>
                <w:b/>
                <w:highlight w:val="none"/>
              </w:rPr>
            </w:pPr>
            <w:r>
              <w:rPr>
                <w:rFonts w:hint="eastAsia" w:ascii="??_GB2312"/>
                <w:b/>
                <w:highlight w:val="none"/>
              </w:rPr>
              <w:t>提前终止或产品延期</w:t>
            </w:r>
          </w:p>
        </w:tc>
        <w:tc>
          <w:tcPr>
            <w:tcW w:w="7707" w:type="dxa"/>
            <w:tcBorders>
              <w:top w:val="single" w:color="auto" w:sz="6" w:space="0"/>
              <w:bottom w:val="single" w:color="auto" w:sz="6" w:space="0"/>
            </w:tcBorders>
          </w:tcPr>
          <w:p>
            <w:pPr>
              <w:spacing w:line="312" w:lineRule="auto"/>
              <w:ind w:firstLine="420" w:firstLineChars="200"/>
              <w:jc w:val="left"/>
              <w:rPr>
                <w:rFonts w:ascii="宋体" w:hAnsi="宋体" w:cs="宋体"/>
                <w:highlight w:val="none"/>
              </w:rPr>
            </w:pPr>
            <w:r>
              <w:rPr>
                <w:rFonts w:hint="eastAsia" w:ascii="宋体" w:hAnsi="宋体" w:cs="宋体"/>
                <w:szCs w:val="21"/>
                <w:highlight w:val="none"/>
                <w:lang w:bidi="ar"/>
              </w:rPr>
              <w:t>本理财产品在特定条件下可能提前终止或延期，</w:t>
            </w:r>
            <w:r>
              <w:rPr>
                <w:rFonts w:hint="eastAsia" w:ascii="宋体" w:hAnsi="宋体" w:cs="宋体"/>
                <w:b/>
                <w:szCs w:val="21"/>
                <w:highlight w:val="none"/>
                <w:lang w:bidi="ar"/>
              </w:rPr>
              <w:t>若产品管理人决定提前终止或延期本理财产品，产品管理人将在实际终止日/原到期日前</w:t>
            </w:r>
            <w:r>
              <w:rPr>
                <w:rFonts w:ascii="宋体" w:hAnsi="宋体" w:cs="宋体"/>
                <w:b/>
                <w:szCs w:val="21"/>
                <w:highlight w:val="none"/>
                <w:lang w:bidi="ar"/>
              </w:rPr>
              <w:t>5</w:t>
            </w:r>
            <w:r>
              <w:rPr>
                <w:rFonts w:hint="eastAsia" w:ascii="宋体" w:hAnsi="宋体" w:cs="宋体"/>
                <w:b/>
                <w:szCs w:val="21"/>
                <w:highlight w:val="none"/>
                <w:lang w:bidi="ar"/>
              </w:rPr>
              <w:t>个工作日内按照理财产品说明书中有关“信息披露”的约定公告相关信息</w:t>
            </w:r>
            <w:r>
              <w:rPr>
                <w:rFonts w:hint="eastAsia" w:ascii="宋体" w:hAnsi="宋体" w:cs="宋体"/>
                <w:b/>
                <w:kern w:val="0"/>
                <w:szCs w:val="21"/>
                <w:highlight w:val="none"/>
                <w:lang w:bidi="ar"/>
              </w:rPr>
              <w:t>。</w:t>
            </w:r>
            <w:r>
              <w:rPr>
                <w:rFonts w:hint="eastAsia" w:ascii="宋体" w:hAnsi="宋体" w:cs="宋体"/>
                <w:szCs w:val="21"/>
                <w:highlight w:val="none"/>
                <w:lang w:bidi="ar"/>
              </w:rPr>
              <w:t>具体内容详见“</w:t>
            </w:r>
            <w:r>
              <w:rPr>
                <w:rFonts w:hint="eastAsia" w:ascii="宋体" w:hAnsi="宋体" w:cs="宋体"/>
                <w:b/>
                <w:szCs w:val="21"/>
                <w:highlight w:val="none"/>
                <w:lang w:bidi="ar"/>
              </w:rPr>
              <w:t>提前终止</w:t>
            </w:r>
            <w:r>
              <w:rPr>
                <w:rFonts w:hint="eastAsia" w:ascii="宋体" w:hAnsi="宋体" w:cs="宋体"/>
                <w:b/>
                <w:bCs/>
                <w:kern w:val="0"/>
                <w:szCs w:val="21"/>
                <w:highlight w:val="none"/>
                <w:lang w:bidi="ar"/>
              </w:rPr>
              <w:t>或产品延期</w:t>
            </w:r>
            <w:r>
              <w:rPr>
                <w:rFonts w:hint="eastAsia" w:ascii="宋体" w:hAnsi="宋体" w:cs="宋体"/>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96" w:hRule="atLeast"/>
        </w:trPr>
        <w:tc>
          <w:tcPr>
            <w:tcW w:w="1937" w:type="dxa"/>
            <w:tcBorders>
              <w:top w:val="single" w:color="auto" w:sz="6" w:space="0"/>
              <w:bottom w:val="single" w:color="auto" w:sz="6" w:space="0"/>
            </w:tcBorders>
            <w:vAlign w:val="center"/>
          </w:tcPr>
          <w:p>
            <w:pPr>
              <w:jc w:val="center"/>
              <w:rPr>
                <w:rFonts w:ascii="??_GB2312"/>
                <w:b/>
                <w:highlight w:val="none"/>
              </w:rPr>
            </w:pPr>
            <w:r>
              <w:rPr>
                <w:rFonts w:hint="eastAsia" w:ascii="??_GB2312"/>
                <w:b/>
                <w:highlight w:val="none"/>
              </w:rPr>
              <w:t>清算期</w:t>
            </w:r>
          </w:p>
        </w:tc>
        <w:tc>
          <w:tcPr>
            <w:tcW w:w="7707" w:type="dxa"/>
            <w:tcBorders>
              <w:top w:val="single" w:color="auto" w:sz="6" w:space="0"/>
              <w:bottom w:val="single" w:color="auto" w:sz="6" w:space="0"/>
            </w:tcBorders>
          </w:tcPr>
          <w:p>
            <w:pPr>
              <w:spacing w:line="312" w:lineRule="auto"/>
              <w:ind w:left="181" w:leftChars="86" w:firstLine="420" w:firstLineChars="200"/>
              <w:jc w:val="left"/>
              <w:rPr>
                <w:rFonts w:ascii="宋体" w:hAnsi="宋体" w:cs="宋体"/>
                <w:szCs w:val="21"/>
                <w:highlight w:val="none"/>
                <w:lang w:bidi="ar"/>
              </w:rPr>
            </w:pPr>
            <w:r>
              <w:rPr>
                <w:rFonts w:hint="eastAsia" w:ascii="宋体" w:hAnsi="宋体" w:cs="宋体"/>
                <w:szCs w:val="21"/>
                <w:highlight w:val="none"/>
                <w:lang w:bidi="ar"/>
              </w:rPr>
              <w:t>自本理财产品到期日（或实际终止日）至投资者理财本金及收益（如有）到账日之间为本理财产品的清算期。清算期原则上不超过5个工作日，如管理人预计清算期超过5个工作日的，管理人将在理财产品到期日（或实际终止日）前2个工作日内按照理财产品说明书中有关“</w:t>
            </w:r>
            <w:r>
              <w:rPr>
                <w:rFonts w:hint="eastAsia" w:ascii="宋体" w:hAnsi="宋体" w:cs="宋体"/>
                <w:b/>
                <w:bCs/>
                <w:szCs w:val="21"/>
                <w:highlight w:val="none"/>
                <w:lang w:bidi="ar"/>
              </w:rPr>
              <w:t>信息披露</w:t>
            </w:r>
            <w:r>
              <w:rPr>
                <w:rFonts w:hint="eastAsia" w:ascii="宋体" w:hAnsi="宋体" w:cs="宋体"/>
                <w:szCs w:val="21"/>
                <w:highlight w:val="none"/>
                <w:lang w:bidi="ar"/>
              </w:rPr>
              <w:t>”的约定向投资者进行信息披露。</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96" w:hRule="atLeast"/>
        </w:trPr>
        <w:tc>
          <w:tcPr>
            <w:tcW w:w="1937" w:type="dxa"/>
            <w:tcBorders>
              <w:top w:val="single" w:color="auto" w:sz="6" w:space="0"/>
              <w:bottom w:val="single" w:color="auto" w:sz="6" w:space="0"/>
            </w:tcBorders>
            <w:vAlign w:val="center"/>
          </w:tcPr>
          <w:p>
            <w:pPr>
              <w:widowControl/>
              <w:spacing w:line="315" w:lineRule="atLeast"/>
              <w:jc w:val="center"/>
              <w:rPr>
                <w:rFonts w:ascii="宋体" w:hAnsi="宋体" w:cs="宋体"/>
                <w:b/>
                <w:kern w:val="0"/>
                <w:szCs w:val="21"/>
                <w:highlight w:val="none"/>
              </w:rPr>
            </w:pPr>
            <w:r>
              <w:rPr>
                <w:b/>
                <w:bCs/>
                <w:kern w:val="0"/>
                <w:szCs w:val="21"/>
                <w:highlight w:val="none"/>
              </w:rPr>
              <w:t>发行范围</w:t>
            </w:r>
          </w:p>
        </w:tc>
        <w:tc>
          <w:tcPr>
            <w:tcW w:w="7707" w:type="dxa"/>
            <w:tcBorders>
              <w:top w:val="single" w:color="auto" w:sz="6" w:space="0"/>
              <w:bottom w:val="single" w:color="auto" w:sz="6" w:space="0"/>
            </w:tcBorders>
            <w:vAlign w:val="center"/>
          </w:tcPr>
          <w:p>
            <w:pPr>
              <w:widowControl/>
              <w:spacing w:line="273" w:lineRule="atLeast"/>
              <w:ind w:firstLine="420" w:firstLineChars="200"/>
              <w:jc w:val="left"/>
              <w:rPr>
                <w:rFonts w:ascii="宋体" w:hAnsi="宋体" w:cs="宋体"/>
                <w:color w:val="000000"/>
                <w:kern w:val="0"/>
                <w:szCs w:val="21"/>
                <w:highlight w:val="none"/>
              </w:rPr>
            </w:pPr>
            <w:r>
              <w:rPr>
                <w:rFonts w:hint="eastAsia"/>
                <w:kern w:val="0"/>
                <w:szCs w:val="21"/>
                <w:highlight w:val="none"/>
              </w:rPr>
              <w:t>本产品在</w:t>
            </w:r>
            <w:r>
              <w:rPr>
                <w:kern w:val="0"/>
                <w:szCs w:val="21"/>
                <w:highlight w:val="none"/>
              </w:rPr>
              <w:t>全</w:t>
            </w:r>
            <w:r>
              <w:rPr>
                <w:rFonts w:hint="eastAsia"/>
                <w:kern w:val="0"/>
                <w:szCs w:val="21"/>
                <w:highlight w:val="none"/>
              </w:rPr>
              <w:t>国</w:t>
            </w:r>
            <w:r>
              <w:rPr>
                <w:kern w:val="0"/>
                <w:szCs w:val="21"/>
                <w:highlight w:val="none"/>
              </w:rPr>
              <w:t>范围发行。</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96" w:hRule="atLeast"/>
        </w:trPr>
        <w:tc>
          <w:tcPr>
            <w:tcW w:w="1937" w:type="dxa"/>
            <w:tcBorders>
              <w:top w:val="single" w:color="auto" w:sz="6" w:space="0"/>
              <w:bottom w:val="single" w:color="auto" w:sz="6" w:space="0"/>
            </w:tcBorders>
            <w:vAlign w:val="center"/>
          </w:tcPr>
          <w:p>
            <w:pPr>
              <w:widowControl/>
              <w:spacing w:line="315" w:lineRule="atLeast"/>
              <w:jc w:val="center"/>
              <w:rPr>
                <w:rFonts w:hint="eastAsia" w:ascii="宋体" w:hAnsi="宋体" w:cs="宋体"/>
                <w:b/>
                <w:szCs w:val="21"/>
                <w:highlight w:val="none"/>
                <w:lang w:bidi="ar"/>
              </w:rPr>
            </w:pPr>
            <w:r>
              <w:rPr>
                <w:rFonts w:hint="eastAsia" w:ascii="宋体" w:hAnsi="宋体" w:cs="宋体"/>
                <w:b/>
                <w:kern w:val="0"/>
                <w:szCs w:val="21"/>
                <w:highlight w:val="none"/>
              </w:rPr>
              <w:t>销售场景</w:t>
            </w:r>
          </w:p>
        </w:tc>
        <w:tc>
          <w:tcPr>
            <w:tcW w:w="7707" w:type="dxa"/>
            <w:tcBorders>
              <w:top w:val="single" w:color="auto" w:sz="6" w:space="0"/>
              <w:bottom w:val="single" w:color="auto" w:sz="6" w:space="0"/>
            </w:tcBorders>
          </w:tcPr>
          <w:p>
            <w:pPr>
              <w:widowControl/>
              <w:spacing w:line="273" w:lineRule="atLeast"/>
              <w:ind w:firstLine="420"/>
              <w:jc w:val="left"/>
              <w:rPr>
                <w:rFonts w:hint="eastAsia" w:ascii="宋体" w:hAnsi="宋体" w:cs="宋体"/>
                <w:szCs w:val="21"/>
                <w:highlight w:val="none"/>
                <w:lang w:bidi="ar"/>
              </w:rPr>
            </w:pPr>
            <w:r>
              <w:rPr>
                <w:rFonts w:hint="eastAsia" w:ascii="宋体" w:hAnsi="宋体" w:cs="宋体"/>
                <w:color w:val="000000"/>
                <w:kern w:val="0"/>
                <w:szCs w:val="21"/>
                <w:highlight w:val="none"/>
              </w:rPr>
              <w:t>本产品可在代销机构线上渠道和线下渠道等场景进行销售，具体以代理销售机构为准。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96" w:hRule="atLeast"/>
        </w:trPr>
        <w:tc>
          <w:tcPr>
            <w:tcW w:w="1937" w:type="dxa"/>
            <w:tcBorders>
              <w:top w:val="single" w:color="auto" w:sz="6" w:space="0"/>
              <w:bottom w:val="single" w:color="auto" w:sz="6" w:space="0"/>
            </w:tcBorders>
            <w:vAlign w:val="center"/>
          </w:tcPr>
          <w:p>
            <w:pPr>
              <w:widowControl/>
              <w:spacing w:line="315" w:lineRule="atLeast"/>
              <w:jc w:val="center"/>
              <w:rPr>
                <w:rFonts w:ascii="Calibri" w:hAnsi="Calibri" w:cs="Calibri"/>
                <w:szCs w:val="21"/>
                <w:highlight w:val="none"/>
              </w:rPr>
            </w:pPr>
            <w:r>
              <w:rPr>
                <w:rFonts w:hint="eastAsia" w:ascii="宋体" w:hAnsi="宋体" w:cs="宋体"/>
                <w:b/>
                <w:szCs w:val="21"/>
                <w:highlight w:val="none"/>
                <w:lang w:bidi="ar"/>
              </w:rPr>
              <w:t>节假日</w:t>
            </w:r>
          </w:p>
        </w:tc>
        <w:tc>
          <w:tcPr>
            <w:tcW w:w="7707" w:type="dxa"/>
            <w:tcBorders>
              <w:top w:val="single" w:color="auto" w:sz="6" w:space="0"/>
              <w:bottom w:val="single" w:color="auto" w:sz="6" w:space="0"/>
            </w:tcBorders>
          </w:tcPr>
          <w:p>
            <w:pPr>
              <w:widowControl/>
              <w:spacing w:line="273" w:lineRule="atLeast"/>
              <w:ind w:firstLine="420"/>
              <w:jc w:val="left"/>
              <w:rPr>
                <w:rFonts w:ascii="Calibri" w:hAnsi="Calibri" w:cs="Calibri"/>
                <w:szCs w:val="21"/>
                <w:highlight w:val="none"/>
              </w:rPr>
            </w:pPr>
            <w:r>
              <w:rPr>
                <w:rFonts w:hint="eastAsia" w:ascii="宋体" w:hAnsi="宋体" w:cs="宋体"/>
                <w:szCs w:val="21"/>
                <w:highlight w:val="none"/>
                <w:lang w:bidi="ar"/>
              </w:rPr>
              <w:t>中国的法定公众节假日或公休日。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96" w:hRule="atLeast"/>
        </w:trPr>
        <w:tc>
          <w:tcPr>
            <w:tcW w:w="1937" w:type="dxa"/>
            <w:tcBorders>
              <w:top w:val="single" w:color="auto" w:sz="6" w:space="0"/>
              <w:bottom w:val="single" w:color="auto" w:sz="6" w:space="0"/>
            </w:tcBorders>
            <w:vAlign w:val="center"/>
          </w:tcPr>
          <w:p>
            <w:pPr>
              <w:jc w:val="center"/>
              <w:rPr>
                <w:rFonts w:ascii="??_GB2312"/>
                <w:b/>
                <w:highlight w:val="none"/>
              </w:rPr>
            </w:pPr>
            <w:r>
              <w:rPr>
                <w:rFonts w:ascii="??_GB2312"/>
                <w:b/>
                <w:highlight w:val="none"/>
              </w:rPr>
              <w:t>税款</w:t>
            </w:r>
          </w:p>
        </w:tc>
        <w:tc>
          <w:tcPr>
            <w:tcW w:w="7707" w:type="dxa"/>
            <w:tcBorders>
              <w:top w:val="single" w:color="auto" w:sz="6" w:space="0"/>
              <w:bottom w:val="single" w:color="auto" w:sz="6" w:space="0"/>
            </w:tcBorders>
          </w:tcPr>
          <w:p>
            <w:pPr>
              <w:spacing w:line="312" w:lineRule="auto"/>
              <w:ind w:firstLine="420" w:firstLineChars="200"/>
              <w:jc w:val="left"/>
              <w:rPr>
                <w:rFonts w:ascii="宋体" w:hAnsi="宋体" w:cs="宋体"/>
                <w:b/>
                <w:bCs/>
                <w:szCs w:val="21"/>
                <w:highlight w:val="none"/>
                <w:lang w:bidi="ar"/>
              </w:rPr>
            </w:pPr>
            <w:r>
              <w:rPr>
                <w:rFonts w:hint="eastAsia" w:ascii="宋体" w:hAnsi="宋体" w:cs="宋体"/>
                <w:szCs w:val="21"/>
                <w:highlight w:val="none"/>
                <w:lang w:bidi="ar"/>
              </w:rPr>
              <w:t>本理财产品运作过程中涉及的各纳税主体，其纳税义务按国家税收法律、法规执行。</w:t>
            </w:r>
            <w:r>
              <w:rPr>
                <w:rFonts w:hint="eastAsia" w:ascii="宋体" w:hAnsi="宋体" w:cs="宋体"/>
                <w:b/>
                <w:bCs/>
                <w:szCs w:val="21"/>
                <w:highlight w:val="none"/>
                <w:lang w:bidi="ar"/>
              </w:rPr>
              <w:t>除法律法规特别要求外，投资者应缴纳的税款（包括但不限于增值税、所得税等，如有）由投资者负责，产品管理人不承担代扣代缴或纳税的义务，</w:t>
            </w:r>
            <w:r>
              <w:rPr>
                <w:rFonts w:hint="eastAsia" w:ascii="宋体" w:hAnsi="宋体" w:cs="宋体"/>
                <w:szCs w:val="21"/>
                <w:highlight w:val="none"/>
                <w:lang w:bidi="ar"/>
              </w:rPr>
              <w:t>但若根据法律法规等规定或税务等国家机关的命令或要求，恒丰理财有义务代扣代缴投资者承担的税费时，恒丰理财将予以代扣代缴，投资者对此应给予配合</w:t>
            </w:r>
            <w:r>
              <w:rPr>
                <w:rFonts w:hint="eastAsia" w:ascii="宋体" w:hAnsi="宋体" w:cs="宋体"/>
                <w:b/>
                <w:bCs/>
                <w:szCs w:val="21"/>
                <w:highlight w:val="none"/>
                <w:lang w:bidi="ar"/>
              </w:rPr>
              <w:t>。</w:t>
            </w:r>
          </w:p>
          <w:p>
            <w:pPr>
              <w:spacing w:line="312" w:lineRule="auto"/>
              <w:ind w:firstLine="420" w:firstLineChars="200"/>
              <w:jc w:val="left"/>
              <w:rPr>
                <w:rFonts w:ascii="宋体" w:hAnsi="宋体" w:cs="宋体"/>
                <w:highlight w:val="none"/>
              </w:rPr>
            </w:pPr>
            <w:r>
              <w:rPr>
                <w:rFonts w:hint="eastAsia" w:ascii="宋体" w:hAnsi="宋体" w:cs="宋体"/>
                <w:szCs w:val="21"/>
                <w:highlight w:val="none"/>
                <w:lang w:bidi="ar"/>
              </w:rPr>
              <w:t>理财产品运营过程中发生的应由理财产品承担的增值税应税行为，由本产品管理人申报和缴纳增值税及附加税费，该等税款直接从理财产品中扣付缴纳。</w:t>
            </w:r>
            <w:r>
              <w:rPr>
                <w:rFonts w:hint="eastAsia" w:ascii="宋体" w:hAnsi="宋体"/>
                <w:color w:val="000000"/>
                <w:szCs w:val="21"/>
                <w:highlight w:val="none"/>
              </w:rPr>
              <w:t>具体内容详见“</w:t>
            </w:r>
            <w:r>
              <w:rPr>
                <w:rFonts w:hint="eastAsia" w:ascii="宋体" w:hAnsi="宋体"/>
                <w:b/>
                <w:bCs/>
                <w:color w:val="000000"/>
                <w:szCs w:val="21"/>
                <w:highlight w:val="none"/>
              </w:rPr>
              <w:t>理财产品税费</w:t>
            </w:r>
            <w:r>
              <w:rPr>
                <w:rFonts w:hint="eastAsia" w:ascii="宋体" w:hAnsi="宋体"/>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96" w:hRule="atLeast"/>
        </w:trPr>
        <w:tc>
          <w:tcPr>
            <w:tcW w:w="1937" w:type="dxa"/>
            <w:tcBorders>
              <w:top w:val="single" w:color="auto" w:sz="6" w:space="0"/>
              <w:bottom w:val="single" w:color="auto" w:sz="6" w:space="0"/>
            </w:tcBorders>
            <w:vAlign w:val="center"/>
          </w:tcPr>
          <w:p>
            <w:pPr>
              <w:jc w:val="center"/>
              <w:rPr>
                <w:rFonts w:ascii="??_GB2312"/>
                <w:b/>
                <w:highlight w:val="none"/>
              </w:rPr>
            </w:pPr>
            <w:r>
              <w:rPr>
                <w:rFonts w:hint="eastAsia" w:ascii="??_GB2312"/>
                <w:b/>
                <w:highlight w:val="none"/>
              </w:rPr>
              <w:t>其他</w:t>
            </w:r>
          </w:p>
        </w:tc>
        <w:tc>
          <w:tcPr>
            <w:tcW w:w="7707" w:type="dxa"/>
            <w:tcBorders>
              <w:top w:val="single" w:color="auto" w:sz="6" w:space="0"/>
              <w:bottom w:val="single" w:color="auto" w:sz="6" w:space="0"/>
            </w:tcBorders>
          </w:tcPr>
          <w:p>
            <w:pPr>
              <w:spacing w:line="312" w:lineRule="auto"/>
              <w:ind w:firstLine="420" w:firstLineChars="200"/>
              <w:jc w:val="left"/>
              <w:rPr>
                <w:rFonts w:ascii="宋体" w:hAnsi="宋体" w:cs="宋体"/>
                <w:szCs w:val="21"/>
                <w:highlight w:val="none"/>
                <w:lang w:bidi="ar"/>
              </w:rPr>
            </w:pPr>
            <w:r>
              <w:rPr>
                <w:rFonts w:ascii="宋体" w:hAnsi="宋体" w:cs="宋体"/>
                <w:szCs w:val="21"/>
                <w:highlight w:val="none"/>
                <w:lang w:bidi="ar"/>
              </w:rPr>
              <w:t>1.</w:t>
            </w:r>
            <w:r>
              <w:rPr>
                <w:rFonts w:hint="eastAsia" w:ascii="宋体" w:hAnsi="宋体" w:cs="宋体"/>
                <w:szCs w:val="21"/>
                <w:highlight w:val="none"/>
                <w:lang w:bidi="ar"/>
              </w:rPr>
              <w:t>如遇法定节假日、市场重大变化等情况，产品管理人有权对产品开放期、申购</w:t>
            </w:r>
            <w:r>
              <w:rPr>
                <w:rFonts w:ascii="宋体" w:hAnsi="宋体" w:cs="宋体"/>
                <w:szCs w:val="21"/>
                <w:highlight w:val="none"/>
                <w:lang w:bidi="ar"/>
              </w:rPr>
              <w:t>/</w:t>
            </w:r>
            <w:r>
              <w:rPr>
                <w:rFonts w:hint="eastAsia" w:ascii="宋体" w:hAnsi="宋体" w:cs="宋体"/>
                <w:szCs w:val="21"/>
                <w:highlight w:val="none"/>
                <w:lang w:bidi="ar"/>
              </w:rPr>
              <w:t>赎回确认日等进行调整并通过理财产品说明书中有关“</w:t>
            </w:r>
            <w:r>
              <w:rPr>
                <w:rFonts w:hint="eastAsia" w:ascii="宋体" w:hAnsi="宋体" w:cs="宋体"/>
                <w:b/>
                <w:bCs/>
                <w:szCs w:val="21"/>
                <w:highlight w:val="none"/>
                <w:lang w:bidi="ar"/>
              </w:rPr>
              <w:t>信息披露</w:t>
            </w:r>
            <w:r>
              <w:rPr>
                <w:rFonts w:hint="eastAsia" w:ascii="宋体" w:hAnsi="宋体" w:cs="宋体"/>
                <w:szCs w:val="21"/>
                <w:highlight w:val="none"/>
                <w:lang w:bidi="ar"/>
              </w:rPr>
              <w:t>”的约定进行信息公告。</w:t>
            </w:r>
          </w:p>
          <w:p>
            <w:pPr>
              <w:spacing w:line="312" w:lineRule="auto"/>
              <w:ind w:firstLine="420" w:firstLineChars="200"/>
              <w:jc w:val="left"/>
              <w:rPr>
                <w:rFonts w:ascii="宋体" w:hAnsi="宋体" w:cs="宋体"/>
                <w:szCs w:val="21"/>
                <w:highlight w:val="none"/>
                <w:lang w:bidi="ar"/>
              </w:rPr>
            </w:pPr>
            <w:r>
              <w:rPr>
                <w:rFonts w:ascii="宋体" w:hAnsi="宋体" w:cs="宋体"/>
                <w:szCs w:val="21"/>
                <w:highlight w:val="none"/>
                <w:lang w:bidi="ar"/>
              </w:rPr>
              <w:t>2.</w:t>
            </w:r>
            <w:r>
              <w:rPr>
                <w:rFonts w:hint="eastAsia" w:ascii="宋体" w:hAnsi="宋体" w:cs="宋体"/>
                <w:szCs w:val="21"/>
                <w:highlight w:val="none"/>
                <w:lang w:bidi="ar"/>
              </w:rPr>
              <w:t>投资者在认购期和开放期内申请认购、申购时，代理销售机构有权冻结投资者缴付的认购、申购款项，</w:t>
            </w:r>
            <w:r>
              <w:rPr>
                <w:rFonts w:hint="eastAsia" w:ascii="宋体" w:hAnsi="宋体" w:cs="宋体"/>
                <w:b/>
                <w:bCs/>
                <w:szCs w:val="21"/>
                <w:highlight w:val="none"/>
                <w:lang w:bidi="ar"/>
              </w:rPr>
              <w:t>冻结期间产品管理人不向投资者计付利息，是否计付利息以代理销售机构为准。</w:t>
            </w:r>
          </w:p>
          <w:p>
            <w:pPr>
              <w:spacing w:line="312" w:lineRule="auto"/>
              <w:ind w:firstLine="420" w:firstLineChars="200"/>
              <w:jc w:val="left"/>
              <w:rPr>
                <w:rFonts w:ascii="宋体" w:hAnsi="宋体" w:cs="宋体"/>
                <w:szCs w:val="21"/>
                <w:highlight w:val="none"/>
                <w:lang w:bidi="ar"/>
              </w:rPr>
            </w:pPr>
            <w:r>
              <w:rPr>
                <w:rFonts w:ascii="宋体" w:hAnsi="宋体" w:cs="宋体"/>
                <w:szCs w:val="21"/>
                <w:highlight w:val="none"/>
                <w:lang w:bidi="ar"/>
              </w:rPr>
              <w:t>3.</w:t>
            </w:r>
            <w:r>
              <w:rPr>
                <w:rFonts w:hint="eastAsia" w:ascii="宋体" w:hAnsi="宋体" w:cs="宋体"/>
                <w:szCs w:val="21"/>
                <w:highlight w:val="none"/>
                <w:lang w:bidi="ar"/>
              </w:rPr>
              <w:t>理财产品赎回申请确认日</w:t>
            </w:r>
            <w:r>
              <w:rPr>
                <w:rFonts w:ascii="宋体" w:hAnsi="宋体" w:cs="宋体"/>
                <w:szCs w:val="21"/>
                <w:highlight w:val="none"/>
                <w:lang w:bidi="ar"/>
              </w:rPr>
              <w:t>/</w:t>
            </w:r>
            <w:r>
              <w:rPr>
                <w:rFonts w:hint="eastAsia" w:ascii="宋体" w:hAnsi="宋体" w:cs="宋体"/>
                <w:szCs w:val="21"/>
                <w:highlight w:val="none"/>
                <w:lang w:bidi="ar"/>
              </w:rPr>
              <w:t>到期日</w:t>
            </w:r>
            <w:r>
              <w:rPr>
                <w:rFonts w:ascii="宋体" w:hAnsi="宋体" w:cs="宋体"/>
                <w:szCs w:val="21"/>
                <w:highlight w:val="none"/>
                <w:lang w:bidi="ar"/>
              </w:rPr>
              <w:t>/</w:t>
            </w:r>
            <w:r>
              <w:rPr>
                <w:rFonts w:hint="eastAsia" w:ascii="宋体" w:hAnsi="宋体" w:cs="宋体"/>
                <w:szCs w:val="21"/>
                <w:highlight w:val="none"/>
                <w:lang w:bidi="ar"/>
              </w:rPr>
              <w:t>终止日至资金到账日之间，投资者资金不计存款利息及理财收益。</w:t>
            </w:r>
          </w:p>
          <w:p>
            <w:pPr>
              <w:widowControl/>
              <w:spacing w:line="273" w:lineRule="atLeast"/>
              <w:ind w:firstLine="420"/>
              <w:jc w:val="left"/>
              <w:rPr>
                <w:rFonts w:ascii="宋体" w:hAnsi="宋体" w:cs="宋体"/>
                <w:highlight w:val="none"/>
              </w:rPr>
            </w:pPr>
            <w:r>
              <w:rPr>
                <w:rFonts w:ascii="宋体" w:hAnsi="宋体" w:cs="宋体"/>
                <w:b/>
                <w:bCs/>
                <w:szCs w:val="21"/>
                <w:highlight w:val="none"/>
                <w:lang w:bidi="ar"/>
              </w:rPr>
              <w:t>4.本</w:t>
            </w:r>
            <w:r>
              <w:rPr>
                <w:rFonts w:hint="eastAsia" w:ascii="宋体" w:hAnsi="宋体" w:cs="宋体"/>
                <w:b/>
                <w:bCs/>
                <w:szCs w:val="21"/>
                <w:highlight w:val="none"/>
                <w:lang w:bidi="ar"/>
              </w:rPr>
              <w:t>理财</w:t>
            </w:r>
            <w:r>
              <w:rPr>
                <w:rFonts w:ascii="宋体" w:hAnsi="宋体" w:cs="宋体"/>
                <w:b/>
                <w:bCs/>
                <w:szCs w:val="21"/>
                <w:highlight w:val="none"/>
                <w:lang w:bidi="ar"/>
              </w:rPr>
              <w:t>产品说明书中涉及的所有日期如遇节假日或其他特殊情况顺延至下一个工作日，由此导致投资者承担的风险，</w:t>
            </w:r>
            <w:r>
              <w:rPr>
                <w:rFonts w:hint="eastAsia" w:ascii="宋体" w:hAnsi="宋体" w:cs="宋体"/>
                <w:b/>
                <w:bCs/>
                <w:szCs w:val="21"/>
                <w:highlight w:val="none"/>
                <w:lang w:bidi="ar"/>
              </w:rPr>
              <w:t>产品管理人不承担责任。</w:t>
            </w:r>
          </w:p>
        </w:tc>
      </w:tr>
    </w:tbl>
    <w:p>
      <w:pPr>
        <w:spacing w:line="360" w:lineRule="auto"/>
        <w:ind w:firstLine="422" w:firstLineChars="200"/>
        <w:outlineLvl w:val="1"/>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二、产品管理人</w:t>
      </w:r>
    </w:p>
    <w:p>
      <w:pPr>
        <w:widowControl/>
        <w:spacing w:line="380" w:lineRule="atLeast"/>
        <w:ind w:firstLine="420"/>
        <w:rPr>
          <w:rFonts w:ascii="宋体" w:hAnsi="宋体" w:cs="宋体"/>
          <w:color w:val="000000"/>
          <w:szCs w:val="21"/>
          <w:highlight w:val="none"/>
          <w:lang w:bidi="ar"/>
        </w:rPr>
      </w:pPr>
      <w:r>
        <w:rPr>
          <w:rFonts w:hint="eastAsia" w:ascii="宋体" w:hAnsi="宋体" w:cs="宋体"/>
          <w:color w:val="000000"/>
          <w:szCs w:val="21"/>
          <w:highlight w:val="none"/>
          <w:lang w:bidi="ar"/>
        </w:rPr>
        <w:t>本理财产品的产品管理人为</w:t>
      </w:r>
      <w:bookmarkStart w:id="3" w:name="_Hlk111131677"/>
      <w:r>
        <w:rPr>
          <w:rFonts w:hint="eastAsia" w:ascii="宋体" w:hAnsi="宋体" w:cs="宋体"/>
          <w:color w:val="000000"/>
          <w:szCs w:val="21"/>
          <w:highlight w:val="none"/>
          <w:lang w:bidi="ar"/>
        </w:rPr>
        <w:t>恒丰理财有限责任公司</w:t>
      </w:r>
      <w:bookmarkEnd w:id="3"/>
      <w:r>
        <w:rPr>
          <w:rFonts w:hint="eastAsia" w:ascii="宋体" w:hAnsi="宋体" w:cs="宋体"/>
          <w:color w:val="000000"/>
          <w:szCs w:val="21"/>
          <w:highlight w:val="none"/>
          <w:lang w:bidi="ar"/>
        </w:rPr>
        <w:t>。产品管理人负责本理财产品的投资运作和产品管理，投资者在此授权并同意产品管理人享有以下权利：</w:t>
      </w:r>
    </w:p>
    <w:p>
      <w:pPr>
        <w:widowControl/>
        <w:spacing w:line="380" w:lineRule="atLeast"/>
        <w:ind w:firstLine="420"/>
        <w:rPr>
          <w:rFonts w:ascii="宋体" w:hAnsi="宋体" w:cs="宋体"/>
          <w:color w:val="000000"/>
          <w:szCs w:val="21"/>
          <w:highlight w:val="none"/>
          <w:lang w:bidi="ar"/>
        </w:rPr>
      </w:pPr>
      <w:r>
        <w:rPr>
          <w:rFonts w:hint="eastAsia" w:ascii="宋体" w:hAnsi="宋体" w:cs="宋体"/>
          <w:color w:val="000000"/>
          <w:szCs w:val="21"/>
          <w:highlight w:val="none"/>
          <w:lang w:bidi="ar"/>
        </w:rPr>
        <w:t>（</w:t>
      </w:r>
      <w:r>
        <w:rPr>
          <w:rFonts w:ascii="宋体" w:hAnsi="宋体" w:cs="宋体"/>
          <w:color w:val="000000"/>
          <w:szCs w:val="21"/>
          <w:highlight w:val="none"/>
          <w:lang w:bidi="ar"/>
        </w:rPr>
        <w:t>1）按照本理财产品</w:t>
      </w:r>
      <w:r>
        <w:rPr>
          <w:rFonts w:hint="eastAsia" w:ascii="宋体" w:hAnsi="宋体" w:cs="宋体"/>
          <w:color w:val="000000"/>
          <w:szCs w:val="21"/>
          <w:highlight w:val="none"/>
          <w:lang w:bidi="ar"/>
        </w:rPr>
        <w:t>说明书</w:t>
      </w:r>
      <w:r>
        <w:rPr>
          <w:rFonts w:ascii="宋体" w:hAnsi="宋体" w:cs="宋体"/>
          <w:color w:val="000000"/>
          <w:szCs w:val="21"/>
          <w:highlight w:val="none"/>
          <w:lang w:bidi="ar"/>
        </w:rPr>
        <w:t>的约定，管理、运用和处分理财产品资金。</w:t>
      </w:r>
    </w:p>
    <w:p>
      <w:pPr>
        <w:widowControl/>
        <w:spacing w:line="380" w:lineRule="atLeast"/>
        <w:ind w:firstLine="420"/>
        <w:rPr>
          <w:rFonts w:ascii="宋体" w:hAnsi="宋体" w:cs="宋体"/>
          <w:color w:val="000000"/>
          <w:szCs w:val="21"/>
          <w:highlight w:val="none"/>
          <w:lang w:bidi="ar"/>
        </w:rPr>
      </w:pPr>
      <w:r>
        <w:rPr>
          <w:rFonts w:hint="eastAsia" w:ascii="宋体" w:hAnsi="宋体" w:cs="宋体"/>
          <w:color w:val="000000"/>
          <w:szCs w:val="21"/>
          <w:highlight w:val="none"/>
          <w:lang w:bidi="ar"/>
        </w:rPr>
        <w:t>（</w:t>
      </w:r>
      <w:r>
        <w:rPr>
          <w:rFonts w:ascii="宋体" w:hAnsi="宋体" w:cs="宋体"/>
          <w:color w:val="000000"/>
          <w:szCs w:val="21"/>
          <w:highlight w:val="none"/>
          <w:lang w:bidi="ar"/>
        </w:rPr>
        <w:t>2）按照本理财产品</w:t>
      </w:r>
      <w:r>
        <w:rPr>
          <w:rFonts w:hint="eastAsia" w:ascii="宋体" w:hAnsi="宋体" w:cs="宋体"/>
          <w:color w:val="000000"/>
          <w:szCs w:val="21"/>
          <w:highlight w:val="none"/>
          <w:lang w:bidi="ar"/>
        </w:rPr>
        <w:t>说明书</w:t>
      </w:r>
      <w:r>
        <w:rPr>
          <w:rFonts w:ascii="宋体" w:hAnsi="宋体" w:cs="宋体"/>
          <w:color w:val="000000"/>
          <w:szCs w:val="21"/>
          <w:highlight w:val="none"/>
          <w:lang w:bidi="ar"/>
        </w:rPr>
        <w:t>的约定，及时、足额获得</w:t>
      </w:r>
      <w:r>
        <w:rPr>
          <w:rFonts w:hint="eastAsia" w:ascii="宋体" w:hAnsi="宋体" w:cs="宋体"/>
          <w:color w:val="000000"/>
          <w:szCs w:val="21"/>
          <w:highlight w:val="none"/>
          <w:lang w:bidi="ar"/>
        </w:rPr>
        <w:t>固定</w:t>
      </w:r>
      <w:r>
        <w:rPr>
          <w:rFonts w:ascii="宋体" w:hAnsi="宋体" w:cs="宋体"/>
          <w:color w:val="000000"/>
          <w:szCs w:val="21"/>
          <w:highlight w:val="none"/>
          <w:lang w:bidi="ar"/>
        </w:rPr>
        <w:t>管理费</w:t>
      </w:r>
      <w:r>
        <w:rPr>
          <w:rFonts w:hint="eastAsia" w:ascii="宋体" w:hAnsi="宋体"/>
          <w:szCs w:val="21"/>
          <w:highlight w:val="none"/>
        </w:rPr>
        <w:t>和浮动管理费（如有）</w:t>
      </w:r>
      <w:r>
        <w:rPr>
          <w:rFonts w:ascii="宋体" w:hAnsi="宋体" w:cs="宋体"/>
          <w:color w:val="000000"/>
          <w:szCs w:val="21"/>
          <w:highlight w:val="none"/>
          <w:lang w:bidi="ar"/>
        </w:rPr>
        <w:t>。</w:t>
      </w:r>
    </w:p>
    <w:p>
      <w:pPr>
        <w:widowControl/>
        <w:spacing w:line="380" w:lineRule="atLeast"/>
        <w:ind w:firstLine="420"/>
        <w:rPr>
          <w:rFonts w:ascii="宋体" w:hAnsi="宋体" w:cs="宋体"/>
          <w:color w:val="000000"/>
          <w:szCs w:val="21"/>
          <w:highlight w:val="none"/>
          <w:lang w:bidi="ar"/>
        </w:rPr>
      </w:pPr>
      <w:r>
        <w:rPr>
          <w:rFonts w:hint="eastAsia" w:ascii="宋体" w:hAnsi="宋体" w:cs="宋体"/>
          <w:color w:val="000000"/>
          <w:szCs w:val="21"/>
          <w:highlight w:val="none"/>
          <w:lang w:bidi="ar"/>
        </w:rPr>
        <w:t>（</w:t>
      </w:r>
      <w:r>
        <w:rPr>
          <w:rFonts w:ascii="宋体" w:hAnsi="宋体" w:cs="宋体"/>
          <w:color w:val="000000"/>
          <w:szCs w:val="21"/>
          <w:highlight w:val="none"/>
          <w:lang w:bidi="ar"/>
        </w:rPr>
        <w:t>3）</w:t>
      </w:r>
      <w:r>
        <w:rPr>
          <w:rFonts w:hint="eastAsia" w:ascii="宋体" w:hAnsi="宋体" w:cs="宋体"/>
          <w:color w:val="000000"/>
          <w:szCs w:val="21"/>
          <w:highlight w:val="none"/>
          <w:lang w:bidi="ar"/>
        </w:rPr>
        <w:t>产品</w:t>
      </w:r>
      <w:r>
        <w:rPr>
          <w:rFonts w:ascii="宋体" w:hAnsi="宋体" w:cs="宋体"/>
          <w:color w:val="000000"/>
          <w:szCs w:val="21"/>
          <w:highlight w:val="none"/>
          <w:lang w:bidi="ar"/>
        </w:rPr>
        <w:t>管理人以其固有财产先行垫付因处理本理财产品相关事务所支出的理财产品费用及税费的，对理财产品资金享有优先受偿的权利。</w:t>
      </w:r>
    </w:p>
    <w:p>
      <w:pPr>
        <w:widowControl/>
        <w:spacing w:line="380" w:lineRule="atLeast"/>
        <w:ind w:firstLine="420"/>
        <w:rPr>
          <w:rFonts w:ascii="宋体" w:hAnsi="宋体" w:cs="宋体"/>
          <w:color w:val="000000"/>
          <w:szCs w:val="21"/>
          <w:highlight w:val="none"/>
          <w:lang w:bidi="ar"/>
        </w:rPr>
      </w:pPr>
      <w:r>
        <w:rPr>
          <w:rFonts w:hint="eastAsia" w:ascii="宋体" w:hAnsi="宋体" w:cs="宋体"/>
          <w:color w:val="000000"/>
          <w:szCs w:val="21"/>
          <w:highlight w:val="none"/>
          <w:lang w:bidi="ar"/>
        </w:rPr>
        <w:t>（</w:t>
      </w:r>
      <w:r>
        <w:rPr>
          <w:rFonts w:ascii="宋体" w:hAnsi="宋体" w:cs="宋体"/>
          <w:color w:val="000000"/>
          <w:szCs w:val="21"/>
          <w:highlight w:val="none"/>
          <w:lang w:bidi="ar"/>
        </w:rPr>
        <w:t>4）</w:t>
      </w:r>
      <w:r>
        <w:rPr>
          <w:rFonts w:hint="eastAsia" w:ascii="宋体" w:hAnsi="宋体" w:cs="宋体"/>
          <w:color w:val="000000"/>
          <w:szCs w:val="21"/>
          <w:highlight w:val="none"/>
          <w:lang w:bidi="ar"/>
        </w:rPr>
        <w:t>产品</w:t>
      </w:r>
      <w:r>
        <w:rPr>
          <w:rFonts w:ascii="宋体" w:hAnsi="宋体" w:cs="宋体"/>
          <w:color w:val="000000"/>
          <w:szCs w:val="21"/>
          <w:highlight w:val="none"/>
          <w:lang w:bidi="ar"/>
        </w:rPr>
        <w:t>管理人有权根据本理财产品</w:t>
      </w:r>
      <w:r>
        <w:rPr>
          <w:rFonts w:hint="eastAsia" w:ascii="宋体" w:hAnsi="宋体" w:cs="宋体"/>
          <w:color w:val="000000"/>
          <w:szCs w:val="21"/>
          <w:highlight w:val="none"/>
          <w:lang w:bidi="ar"/>
        </w:rPr>
        <w:t>说明书</w:t>
      </w:r>
      <w:r>
        <w:rPr>
          <w:rFonts w:ascii="宋体" w:hAnsi="宋体" w:cs="宋体"/>
          <w:color w:val="000000"/>
          <w:szCs w:val="21"/>
          <w:highlight w:val="none"/>
          <w:lang w:bidi="ar"/>
        </w:rPr>
        <w:t>的约定提前终止或延长本理财产品的期限。</w:t>
      </w:r>
    </w:p>
    <w:p>
      <w:pPr>
        <w:widowControl/>
        <w:spacing w:line="380" w:lineRule="atLeast"/>
        <w:ind w:firstLine="420"/>
        <w:rPr>
          <w:rFonts w:ascii="宋体" w:hAnsi="宋体" w:cs="宋体"/>
          <w:color w:val="000000"/>
          <w:szCs w:val="21"/>
          <w:highlight w:val="none"/>
          <w:lang w:bidi="ar"/>
        </w:rPr>
      </w:pPr>
      <w:r>
        <w:rPr>
          <w:rFonts w:hint="eastAsia" w:ascii="宋体" w:hAnsi="宋体" w:cs="宋体"/>
          <w:color w:val="000000"/>
          <w:szCs w:val="21"/>
          <w:highlight w:val="none"/>
          <w:lang w:bidi="ar"/>
        </w:rPr>
        <w:t>（</w:t>
      </w:r>
      <w:r>
        <w:rPr>
          <w:rFonts w:ascii="宋体" w:hAnsi="宋体" w:cs="宋体"/>
          <w:color w:val="000000"/>
          <w:szCs w:val="21"/>
          <w:highlight w:val="none"/>
          <w:lang w:bidi="ar"/>
        </w:rPr>
        <w:t>5）</w:t>
      </w:r>
      <w:r>
        <w:rPr>
          <w:rFonts w:hint="eastAsia" w:ascii="宋体" w:hAnsi="宋体" w:cs="宋体"/>
          <w:color w:val="000000"/>
          <w:szCs w:val="21"/>
          <w:highlight w:val="none"/>
          <w:lang w:bidi="ar"/>
        </w:rPr>
        <w:t>产品</w:t>
      </w:r>
      <w:r>
        <w:rPr>
          <w:rFonts w:ascii="宋体" w:hAnsi="宋体" w:cs="宋体"/>
          <w:color w:val="000000"/>
          <w:szCs w:val="21"/>
          <w:highlight w:val="none"/>
          <w:lang w:bidi="ar"/>
        </w:rPr>
        <w:t>管理人有权调整本理财产品的</w:t>
      </w:r>
      <w:r>
        <w:rPr>
          <w:rFonts w:hint="eastAsia" w:ascii="宋体" w:hAnsi="宋体" w:cs="宋体"/>
          <w:color w:val="000000"/>
          <w:szCs w:val="21"/>
          <w:highlight w:val="none"/>
          <w:lang w:bidi="ar"/>
        </w:rPr>
        <w:t>产品</w:t>
      </w:r>
      <w:r>
        <w:rPr>
          <w:rFonts w:ascii="宋体" w:hAnsi="宋体" w:cs="宋体"/>
          <w:color w:val="000000"/>
          <w:szCs w:val="21"/>
          <w:highlight w:val="none"/>
          <w:lang w:bidi="ar"/>
        </w:rPr>
        <w:t>规模上</w:t>
      </w:r>
      <w:r>
        <w:rPr>
          <w:rFonts w:hint="eastAsia" w:ascii="宋体" w:hAnsi="宋体" w:cs="宋体"/>
          <w:color w:val="000000"/>
          <w:szCs w:val="21"/>
          <w:highlight w:val="none"/>
          <w:lang w:bidi="ar"/>
        </w:rPr>
        <w:t>下</w:t>
      </w:r>
      <w:r>
        <w:rPr>
          <w:rFonts w:ascii="宋体" w:hAnsi="宋体" w:cs="宋体"/>
          <w:color w:val="000000"/>
          <w:szCs w:val="21"/>
          <w:highlight w:val="none"/>
          <w:lang w:bidi="ar"/>
        </w:rPr>
        <w:t>限、认（申）购起点、认（申）购金额上限、单一投资者持有份额上限等要素。</w:t>
      </w:r>
    </w:p>
    <w:p>
      <w:pPr>
        <w:widowControl/>
        <w:spacing w:line="380" w:lineRule="atLeast"/>
        <w:ind w:firstLine="420"/>
        <w:rPr>
          <w:rFonts w:ascii="宋体" w:hAnsi="宋体" w:cs="宋体"/>
          <w:b/>
          <w:bCs/>
          <w:color w:val="000000"/>
          <w:szCs w:val="21"/>
          <w:highlight w:val="none"/>
          <w:lang w:bidi="ar"/>
        </w:rPr>
      </w:pPr>
      <w:r>
        <w:rPr>
          <w:rFonts w:hint="eastAsia" w:ascii="宋体" w:hAnsi="宋体" w:cs="宋体"/>
          <w:b/>
          <w:bCs/>
          <w:color w:val="000000"/>
          <w:szCs w:val="21"/>
          <w:highlight w:val="none"/>
          <w:lang w:bidi="ar"/>
        </w:rPr>
        <w:t>（</w:t>
      </w:r>
      <w:r>
        <w:rPr>
          <w:rFonts w:ascii="宋体" w:hAnsi="宋体" w:cs="宋体"/>
          <w:b/>
          <w:bCs/>
          <w:color w:val="000000"/>
          <w:szCs w:val="21"/>
          <w:highlight w:val="none"/>
          <w:lang w:bidi="ar"/>
        </w:rPr>
        <w:t>6）</w:t>
      </w:r>
      <w:r>
        <w:rPr>
          <w:rFonts w:hint="eastAsia" w:ascii="宋体" w:hAnsi="宋体" w:cs="宋体"/>
          <w:b/>
          <w:bCs/>
          <w:color w:val="000000"/>
          <w:szCs w:val="21"/>
          <w:highlight w:val="none"/>
          <w:lang w:bidi="ar"/>
        </w:rPr>
        <w:t>产品</w:t>
      </w:r>
      <w:r>
        <w:rPr>
          <w:rFonts w:ascii="宋体" w:hAnsi="宋体" w:cs="宋体"/>
          <w:b/>
          <w:bCs/>
          <w:color w:val="000000"/>
          <w:szCs w:val="21"/>
          <w:highlight w:val="none"/>
          <w:lang w:bidi="ar"/>
        </w:rPr>
        <w:t>管理人有权按照法律规定和监管机构的要求将投资者的信息向有权部门或相关机构披露。</w:t>
      </w:r>
    </w:p>
    <w:p>
      <w:pPr>
        <w:widowControl/>
        <w:spacing w:line="380" w:lineRule="atLeast"/>
        <w:ind w:firstLine="420"/>
        <w:rPr>
          <w:rFonts w:ascii="宋体" w:hAnsi="宋体" w:cs="宋体"/>
          <w:color w:val="000000"/>
          <w:szCs w:val="21"/>
          <w:highlight w:val="none"/>
          <w:lang w:bidi="ar"/>
        </w:rPr>
      </w:pPr>
      <w:r>
        <w:rPr>
          <w:rFonts w:hint="eastAsia" w:ascii="宋体" w:hAnsi="宋体" w:cs="宋体"/>
          <w:color w:val="000000"/>
          <w:szCs w:val="21"/>
          <w:highlight w:val="none"/>
          <w:lang w:bidi="ar"/>
        </w:rPr>
        <w:t>（</w:t>
      </w:r>
      <w:r>
        <w:rPr>
          <w:rFonts w:ascii="宋体" w:hAnsi="宋体" w:cs="宋体"/>
          <w:color w:val="000000"/>
          <w:szCs w:val="21"/>
          <w:highlight w:val="none"/>
          <w:lang w:bidi="ar"/>
        </w:rPr>
        <w:t>7）以产品管理人的名义，依照法律法规相关规定以及为理财产品</w:t>
      </w:r>
      <w:r>
        <w:rPr>
          <w:rFonts w:hint="eastAsia" w:ascii="宋体" w:hAnsi="宋体" w:cs="宋体"/>
          <w:color w:val="000000"/>
          <w:szCs w:val="21"/>
          <w:highlight w:val="none"/>
          <w:lang w:bidi="ar"/>
        </w:rPr>
        <w:t>投资者</w:t>
      </w:r>
      <w:r>
        <w:rPr>
          <w:rFonts w:ascii="宋体" w:hAnsi="宋体" w:cs="宋体"/>
          <w:color w:val="000000"/>
          <w:szCs w:val="21"/>
          <w:highlight w:val="none"/>
          <w:lang w:bidi="ar"/>
        </w:rPr>
        <w:t>的利益，对被投资的各类公募基金、公司/企业等行使出资人/投资者权利（包括但不限于表决投票的权利）以及行使因理财产品财产投资于证券类基础资产（含债券）或其他基础资产（包括但不限于债权类资产）所产生的相关权利。</w:t>
      </w:r>
    </w:p>
    <w:p>
      <w:pPr>
        <w:widowControl/>
        <w:spacing w:line="380" w:lineRule="atLeast"/>
        <w:ind w:firstLine="420"/>
        <w:rPr>
          <w:rFonts w:ascii="宋体" w:hAnsi="宋体" w:cs="宋体"/>
          <w:color w:val="000000"/>
          <w:szCs w:val="21"/>
          <w:highlight w:val="none"/>
          <w:lang w:bidi="ar"/>
        </w:rPr>
      </w:pPr>
      <w:r>
        <w:rPr>
          <w:rFonts w:hint="eastAsia" w:ascii="宋体" w:hAnsi="宋体" w:cs="宋体"/>
          <w:color w:val="000000"/>
          <w:szCs w:val="21"/>
          <w:highlight w:val="none"/>
          <w:lang w:bidi="ar"/>
        </w:rPr>
        <w:t>（8）有权代表理财产品投资者利益，按照法律法规和监管部门相关规定对理财产品投资产生的风险资产进行多种方式的处置，包括但不限于转让、重组、债转股、资产证券化、委外催收、抵债资产收取与处置、破产重整。</w:t>
      </w:r>
    </w:p>
    <w:p>
      <w:pPr>
        <w:widowControl/>
        <w:spacing w:line="380" w:lineRule="atLeast"/>
        <w:ind w:firstLine="420" w:firstLineChars="200"/>
        <w:rPr>
          <w:rFonts w:ascii="宋体" w:hAnsi="宋体" w:cs="宋体"/>
          <w:color w:val="000000"/>
          <w:szCs w:val="21"/>
          <w:highlight w:val="none"/>
          <w:lang w:bidi="ar"/>
        </w:rPr>
      </w:pPr>
      <w:r>
        <w:rPr>
          <w:rFonts w:hint="eastAsia" w:ascii="宋体" w:hAnsi="宋体" w:cs="宋体"/>
          <w:color w:val="000000"/>
          <w:szCs w:val="21"/>
          <w:highlight w:val="none"/>
          <w:lang w:bidi="ar"/>
        </w:rPr>
        <w:t>（9）选择、更换律师、审计师、证券经纪商或其他为理财产品提供服务的外部机构并确定有关费率。</w:t>
      </w:r>
    </w:p>
    <w:p>
      <w:pPr>
        <w:widowControl/>
        <w:spacing w:line="380" w:lineRule="atLeast"/>
        <w:ind w:firstLine="420"/>
        <w:rPr>
          <w:rFonts w:ascii="宋体" w:hAnsi="宋体" w:cs="宋体"/>
          <w:color w:val="000000"/>
          <w:szCs w:val="21"/>
          <w:highlight w:val="none"/>
          <w:lang w:bidi="ar"/>
        </w:rPr>
      </w:pPr>
      <w:r>
        <w:rPr>
          <w:rFonts w:hint="eastAsia" w:ascii="宋体" w:hAnsi="宋体" w:cs="宋体"/>
          <w:color w:val="000000"/>
          <w:szCs w:val="21"/>
          <w:highlight w:val="none"/>
          <w:lang w:bidi="ar"/>
        </w:rPr>
        <w:t>（</w:t>
      </w:r>
      <w:r>
        <w:rPr>
          <w:rFonts w:ascii="宋体" w:hAnsi="宋体" w:cs="宋体"/>
          <w:color w:val="000000"/>
          <w:szCs w:val="21"/>
          <w:highlight w:val="none"/>
          <w:lang w:bidi="ar"/>
        </w:rPr>
        <w:t>10）以产品管理人的名义，依照法律法规相关规定以及代表理财产品份额持有人的利益行使代为追索的权利（包括但不限于提起诉讼/仲裁、申请保全/执行的权利）或者实施其他法律行为。</w:t>
      </w:r>
    </w:p>
    <w:p>
      <w:pPr>
        <w:widowControl/>
        <w:spacing w:line="380" w:lineRule="atLeast"/>
        <w:ind w:firstLine="420"/>
        <w:rPr>
          <w:rFonts w:ascii="宋体" w:hAnsi="宋体" w:cs="宋体"/>
          <w:color w:val="000000"/>
          <w:szCs w:val="21"/>
          <w:highlight w:val="none"/>
          <w:lang w:bidi="ar"/>
        </w:rPr>
      </w:pPr>
      <w:r>
        <w:rPr>
          <w:rFonts w:hint="eastAsia" w:ascii="宋体" w:hAnsi="宋体" w:cs="宋体"/>
          <w:color w:val="000000"/>
          <w:szCs w:val="21"/>
          <w:highlight w:val="none"/>
          <w:lang w:bidi="ar"/>
        </w:rPr>
        <w:t>（</w:t>
      </w:r>
      <w:r>
        <w:rPr>
          <w:rFonts w:ascii="宋体" w:hAnsi="宋体" w:cs="宋体"/>
          <w:color w:val="000000"/>
          <w:szCs w:val="21"/>
          <w:highlight w:val="none"/>
          <w:lang w:bidi="ar"/>
        </w:rPr>
        <w:t>11）在法律法规、监管政策允许的前提下调整估值日。</w:t>
      </w:r>
    </w:p>
    <w:p>
      <w:pPr>
        <w:widowControl/>
        <w:spacing w:line="380" w:lineRule="atLeast"/>
        <w:ind w:firstLine="420"/>
        <w:rPr>
          <w:rFonts w:ascii="宋体" w:hAnsi="宋体" w:cs="宋体"/>
          <w:color w:val="000000"/>
          <w:szCs w:val="21"/>
          <w:highlight w:val="none"/>
          <w:lang w:bidi="ar"/>
        </w:rPr>
      </w:pPr>
      <w:r>
        <w:rPr>
          <w:rFonts w:hint="eastAsia" w:ascii="宋体" w:hAnsi="宋体" w:cs="宋体"/>
          <w:color w:val="000000"/>
          <w:szCs w:val="21"/>
          <w:highlight w:val="none"/>
          <w:lang w:bidi="ar"/>
        </w:rPr>
        <w:t>（</w:t>
      </w:r>
      <w:r>
        <w:rPr>
          <w:rFonts w:ascii="宋体" w:hAnsi="宋体" w:cs="宋体"/>
          <w:color w:val="000000"/>
          <w:szCs w:val="21"/>
          <w:highlight w:val="none"/>
          <w:lang w:bidi="ar"/>
        </w:rPr>
        <w:t>12）法律法规、监管政策和本理财产品</w:t>
      </w:r>
      <w:r>
        <w:rPr>
          <w:rFonts w:hint="eastAsia" w:ascii="宋体" w:hAnsi="宋体" w:cs="宋体"/>
          <w:color w:val="000000"/>
          <w:szCs w:val="21"/>
          <w:highlight w:val="none"/>
          <w:lang w:bidi="ar"/>
        </w:rPr>
        <w:t>销售</w:t>
      </w:r>
      <w:r>
        <w:rPr>
          <w:rFonts w:ascii="宋体" w:hAnsi="宋体" w:cs="宋体"/>
          <w:color w:val="000000"/>
          <w:szCs w:val="21"/>
          <w:highlight w:val="none"/>
          <w:lang w:bidi="ar"/>
        </w:rPr>
        <w:t>文件</w:t>
      </w:r>
      <w:r>
        <w:rPr>
          <w:rFonts w:hint="eastAsia" w:ascii="宋体" w:hAnsi="宋体" w:cs="宋体"/>
          <w:color w:val="000000"/>
          <w:szCs w:val="21"/>
          <w:highlight w:val="none"/>
          <w:lang w:bidi="ar"/>
        </w:rPr>
        <w:t>以及依据理财产品销售文件制订的其它法律文件</w:t>
      </w:r>
      <w:r>
        <w:rPr>
          <w:rFonts w:ascii="宋体" w:hAnsi="宋体" w:cs="宋体"/>
          <w:color w:val="000000"/>
          <w:szCs w:val="21"/>
          <w:highlight w:val="none"/>
          <w:lang w:bidi="ar"/>
        </w:rPr>
        <w:t>约定的其他权利。</w:t>
      </w:r>
    </w:p>
    <w:p>
      <w:pPr>
        <w:spacing w:line="360" w:lineRule="auto"/>
        <w:ind w:firstLine="422" w:firstLineChars="200"/>
        <w:outlineLvl w:val="1"/>
        <w:rPr>
          <w:rFonts w:ascii="宋体" w:hAnsi="宋体" w:cs="宋体"/>
          <w:b/>
          <w:bCs/>
          <w:color w:val="000000"/>
          <w:szCs w:val="21"/>
          <w:highlight w:val="none"/>
          <w:lang w:bidi="ar"/>
        </w:rPr>
      </w:pPr>
      <w:r>
        <w:rPr>
          <w:rFonts w:hint="eastAsia" w:ascii="宋体" w:hAnsi="宋体"/>
          <w:b/>
          <w:color w:val="000000" w:themeColor="text1"/>
          <w:szCs w:val="21"/>
          <w:highlight w:val="none"/>
          <w14:textFill>
            <w14:solidFill>
              <w14:schemeClr w14:val="tx1"/>
            </w14:solidFill>
          </w14:textFill>
        </w:rPr>
        <w:t xml:space="preserve">三、托管人 </w:t>
      </w:r>
    </w:p>
    <w:p>
      <w:pPr>
        <w:widowControl/>
        <w:spacing w:line="380" w:lineRule="atLeast"/>
        <w:ind w:firstLine="420"/>
        <w:rPr>
          <w:rFonts w:ascii="宋体" w:hAnsi="宋体" w:cs="宋体"/>
          <w:color w:val="000000"/>
          <w:szCs w:val="21"/>
          <w:highlight w:val="none"/>
          <w:lang w:bidi="ar"/>
        </w:rPr>
      </w:pPr>
      <w:r>
        <w:rPr>
          <w:rFonts w:hint="eastAsia" w:ascii="宋体" w:hAnsi="宋体" w:cs="宋体"/>
          <w:color w:val="000000"/>
          <w:szCs w:val="21"/>
          <w:highlight w:val="none"/>
          <w:lang w:bidi="ar"/>
        </w:rPr>
        <w:t>本理财产品的托管人为</w:t>
      </w:r>
      <w:r>
        <w:rPr>
          <w:rFonts w:hint="eastAsia" w:ascii="宋体" w:hAnsi="宋体" w:cs="宋体"/>
          <w:color w:val="000000"/>
          <w:szCs w:val="21"/>
          <w:highlight w:val="none"/>
          <w:lang w:eastAsia="zh-CN" w:bidi="ar"/>
        </w:rPr>
        <w:t>【</w:t>
      </w:r>
      <w:r>
        <w:rPr>
          <w:rFonts w:hint="eastAsia" w:ascii="宋体" w:hAnsi="宋体" w:eastAsia="宋体" w:cs="宋体"/>
          <w:color w:val="000000"/>
          <w:kern w:val="2"/>
          <w:sz w:val="21"/>
          <w:szCs w:val="21"/>
          <w:lang w:val="en-US" w:eastAsia="zh-CN" w:bidi="ar"/>
        </w:rPr>
        <w:t>恒丰银行股份有限公司</w:t>
      </w:r>
      <w:r>
        <w:rPr>
          <w:rFonts w:hint="eastAsia" w:ascii="宋体" w:hAnsi="宋体" w:cs="宋体"/>
          <w:color w:val="000000"/>
          <w:szCs w:val="21"/>
          <w:highlight w:val="none"/>
          <w:lang w:eastAsia="zh-CN" w:bidi="ar"/>
        </w:rPr>
        <w:t>】</w:t>
      </w:r>
      <w:r>
        <w:rPr>
          <w:rFonts w:hint="eastAsia" w:ascii="宋体" w:hAnsi="宋体" w:cs="宋体"/>
          <w:color w:val="000000"/>
          <w:szCs w:val="21"/>
          <w:highlight w:val="none"/>
          <w:lang w:val="en-US" w:eastAsia="zh-CN" w:bidi="ar"/>
        </w:rPr>
        <w:t>，</w:t>
      </w:r>
      <w:r>
        <w:rPr>
          <w:rFonts w:hint="eastAsia" w:ascii="宋体" w:hAnsi="宋体" w:eastAsia="宋体" w:cs="宋体"/>
          <w:color w:val="000000"/>
          <w:kern w:val="2"/>
          <w:sz w:val="21"/>
          <w:szCs w:val="21"/>
          <w:lang w:val="en-US" w:eastAsia="zh-CN" w:bidi="ar"/>
        </w:rPr>
        <w:t>注册地址为山东省济南市历下区泺源大街8号，2014年2月获得证券投资基金托管资格。托管人主要职责为提供包括账户开立、资金保管、资金清算、估值核算等理财产品托管服务。</w:t>
      </w:r>
    </w:p>
    <w:p>
      <w:pPr>
        <w:widowControl/>
        <w:spacing w:line="380" w:lineRule="atLeast"/>
        <w:ind w:firstLine="420"/>
        <w:rPr>
          <w:rFonts w:ascii="宋体" w:hAnsi="宋体" w:cs="宋体"/>
          <w:color w:val="000000"/>
          <w:szCs w:val="21"/>
          <w:highlight w:val="none"/>
          <w:lang w:bidi="ar"/>
        </w:rPr>
      </w:pPr>
      <w:r>
        <w:rPr>
          <w:rFonts w:hint="eastAsia" w:ascii="宋体" w:hAnsi="宋体" w:cs="宋体"/>
          <w:color w:val="000000"/>
          <w:szCs w:val="21"/>
          <w:highlight w:val="none"/>
          <w:lang w:bidi="ar"/>
        </w:rPr>
        <w:t>产品管理人为理财产品资金管理之目的，以本理财产品的名义在托管人处单独开立资金账户，理财产品资金的一切收支活动，包括但不限于接收募集资金、划付对外投资资金、缴纳理财产品税费、接收理财产品回收资金、支付理财产品费用以及向份额持有人划付理财产品利益分配款项，均必须通过该账户进行。</w:t>
      </w:r>
    </w:p>
    <w:p>
      <w:pPr>
        <w:spacing w:line="360" w:lineRule="auto"/>
        <w:ind w:firstLine="422" w:firstLineChars="200"/>
        <w:outlineLvl w:val="1"/>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四、代理销售机构</w:t>
      </w:r>
    </w:p>
    <w:p>
      <w:pPr>
        <w:widowControl/>
        <w:spacing w:line="380" w:lineRule="atLeast"/>
        <w:ind w:firstLine="420"/>
        <w:rPr>
          <w:rFonts w:ascii="宋体" w:hAnsi="宋体" w:cs="宋体"/>
          <w:color w:val="000000"/>
          <w:szCs w:val="21"/>
          <w:highlight w:val="none"/>
          <w:lang w:bidi="ar"/>
        </w:rPr>
      </w:pPr>
      <w:r>
        <w:rPr>
          <w:rFonts w:hint="eastAsia" w:ascii="宋体" w:hAnsi="宋体" w:cs="宋体"/>
          <w:color w:val="000000"/>
          <w:szCs w:val="21"/>
          <w:highlight w:val="none"/>
          <w:lang w:bidi="ar"/>
        </w:rPr>
        <w:t>本理财产品的代理销售机构为</w:t>
      </w:r>
      <w:r>
        <w:rPr>
          <w:rFonts w:hint="eastAsia" w:ascii="宋体" w:hAnsi="宋体" w:eastAsia="宋体" w:cs="宋体"/>
          <w:color w:val="000000"/>
          <w:kern w:val="2"/>
          <w:sz w:val="21"/>
          <w:szCs w:val="21"/>
          <w:lang w:val="en-US" w:eastAsia="zh-CN" w:bidi="ar"/>
        </w:rPr>
        <w:t>【恒丰银行股份有限公司】、【浙商银行股份有限公司】、【</w:t>
      </w:r>
      <w:r>
        <w:rPr>
          <w:rFonts w:hint="eastAsia" w:ascii="宋体" w:hAnsi="宋体" w:eastAsia="宋体" w:cs="宋体"/>
          <w:color w:val="000000"/>
          <w:kern w:val="2"/>
          <w:sz w:val="21"/>
          <w:szCs w:val="21"/>
          <w:lang w:bidi="ar"/>
        </w:rPr>
        <w:t>重庆富民银行股份有限公司</w:t>
      </w:r>
      <w:r>
        <w:rPr>
          <w:rFonts w:hint="eastAsia" w:ascii="宋体" w:hAnsi="宋体" w:eastAsia="宋体" w:cs="宋体"/>
          <w:color w:val="000000"/>
          <w:kern w:val="2"/>
          <w:sz w:val="21"/>
          <w:szCs w:val="21"/>
          <w:lang w:val="en-US" w:eastAsia="zh-CN" w:bidi="ar"/>
        </w:rPr>
        <w:t>】、【泰安银行股份有限公司】、【枣庄银行股份有限公司】、【苏州银行股份有限公司】</w:t>
      </w:r>
      <w:r>
        <w:rPr>
          <w:rFonts w:hint="eastAsia" w:ascii="宋体" w:hAnsi="宋体" w:cs="宋体"/>
          <w:color w:val="000000"/>
          <w:kern w:val="2"/>
          <w:sz w:val="21"/>
          <w:szCs w:val="21"/>
          <w:lang w:val="en-US" w:eastAsia="zh-CN" w:bidi="ar"/>
        </w:rPr>
        <w:t>、【恒丰理财有限责任公司】</w:t>
      </w:r>
      <w:r>
        <w:rPr>
          <w:rFonts w:hint="eastAsia" w:ascii="宋体" w:hAnsi="宋体" w:cs="宋体"/>
          <w:color w:val="000000"/>
          <w:szCs w:val="21"/>
          <w:highlight w:val="none"/>
          <w:lang w:eastAsia="zh-CN" w:bidi="ar"/>
        </w:rPr>
        <w:t>。</w:t>
      </w:r>
      <w:r>
        <w:rPr>
          <w:rFonts w:ascii="宋体" w:hAnsi="宋体" w:cs="宋体"/>
          <w:color w:val="000000"/>
          <w:szCs w:val="21"/>
          <w:highlight w:val="none"/>
          <w:lang w:bidi="ar"/>
        </w:rPr>
        <w:t>后续如有变更，以管理人信息披露为准。代理销售机构及其分支机构提供包括理财产品宣传推广、投资者风险承受能力评估和投资者适当性管理、理财产品份额认购/申购/赎回、协助管理人与投资者订立理财产品</w:t>
      </w:r>
      <w:r>
        <w:rPr>
          <w:rFonts w:hint="eastAsia" w:ascii="宋体" w:hAnsi="宋体" w:cs="宋体"/>
          <w:color w:val="000000"/>
          <w:szCs w:val="21"/>
          <w:highlight w:val="none"/>
          <w:lang w:bidi="ar"/>
        </w:rPr>
        <w:t>销售文件</w:t>
      </w:r>
      <w:r>
        <w:rPr>
          <w:rFonts w:ascii="宋体" w:hAnsi="宋体" w:cs="宋体"/>
          <w:color w:val="000000"/>
          <w:szCs w:val="21"/>
          <w:highlight w:val="none"/>
          <w:lang w:bidi="ar"/>
        </w:rPr>
        <w:t>、协助管理人与投资者沟通及进行信息披露、接受投资者咨询和客户维护等销售服务。</w:t>
      </w:r>
    </w:p>
    <w:p>
      <w:pPr>
        <w:spacing w:line="360" w:lineRule="auto"/>
        <w:ind w:firstLine="422" w:firstLineChars="200"/>
        <w:outlineLvl w:val="1"/>
        <w:rPr>
          <w:rFonts w:ascii="宋体" w:hAnsi="宋体"/>
          <w:b/>
          <w:color w:val="000000" w:themeColor="text1"/>
          <w:highlight w:val="none"/>
          <w14:textFill>
            <w14:solidFill>
              <w14:schemeClr w14:val="tx1"/>
            </w14:solidFill>
          </w14:textFill>
        </w:rPr>
      </w:pPr>
      <w:bookmarkStart w:id="4" w:name="_Hlk132870976"/>
      <w:r>
        <w:rPr>
          <w:rFonts w:hint="eastAsia" w:ascii="宋体" w:hAnsi="宋体"/>
          <w:b/>
          <w:color w:val="000000" w:themeColor="text1"/>
          <w:highlight w:val="none"/>
          <w14:textFill>
            <w14:solidFill>
              <w14:schemeClr w14:val="tx1"/>
            </w14:solidFill>
          </w14:textFill>
        </w:rPr>
        <w:t>五、投资合作机构</w:t>
      </w:r>
    </w:p>
    <w:p>
      <w:pPr>
        <w:widowControl/>
        <w:spacing w:line="380" w:lineRule="atLeast"/>
        <w:ind w:firstLine="422"/>
        <w:rPr>
          <w:color w:val="000000"/>
          <w:kern w:val="0"/>
          <w:highlight w:val="none"/>
        </w:rPr>
      </w:pPr>
      <w:r>
        <w:rPr>
          <w:rFonts w:hint="eastAsia"/>
          <w:color w:val="000000"/>
          <w:kern w:val="0"/>
          <w:highlight w:val="none"/>
        </w:rPr>
        <w:t>投资合作机构指理财产品所投资资产管理产品的发行机构、根据合同约定从事理财产品受托投资的机构以及与理财产品投资管理相关的投资顾问等机构。投资合作机构的主要职责为进行受托资金的投资管理，根据合同约定从事受托投资或提供投资顾问等服务，具体职责以管理人与投资合作机构签署的合同为准。</w:t>
      </w:r>
      <w:bookmarkEnd w:id="4"/>
      <w:r>
        <w:rPr>
          <w:rFonts w:hint="eastAsia"/>
          <w:color w:val="000000"/>
          <w:kern w:val="0"/>
          <w:highlight w:val="none"/>
        </w:rPr>
        <w:t>本理财产品投资合作机构依据监管要求进行名单制管理，所有合作机构均经过恒丰理财相关制度流程选任，符合准入标准和程序。</w:t>
      </w:r>
    </w:p>
    <w:p>
      <w:pPr>
        <w:widowControl/>
        <w:spacing w:line="380" w:lineRule="atLeast"/>
        <w:ind w:firstLine="422"/>
        <w:rPr>
          <w:color w:val="000000"/>
          <w:kern w:val="0"/>
        </w:rPr>
      </w:pPr>
      <w:r>
        <w:rPr>
          <w:rFonts w:hint="eastAsia"/>
          <w:color w:val="000000"/>
          <w:kern w:val="0"/>
        </w:rPr>
        <w:t>【</w:t>
      </w:r>
      <w:r>
        <w:rPr>
          <w:rFonts w:hint="eastAsia" w:ascii="宋体" w:hAnsi="宋体" w:eastAsia="宋体" w:cs="宋体"/>
          <w:b w:val="0"/>
          <w:color w:val="000000"/>
          <w:kern w:val="2"/>
          <w:sz w:val="21"/>
          <w:szCs w:val="21"/>
          <w:lang w:val="en-US" w:eastAsia="zh-CN" w:bidi="ar"/>
        </w:rPr>
        <w:t>兴业银行股份有限公司</w:t>
      </w:r>
      <w:r>
        <w:rPr>
          <w:rFonts w:hint="eastAsia"/>
          <w:color w:val="000000"/>
          <w:kern w:val="0"/>
        </w:rPr>
        <w:t>】</w:t>
      </w:r>
    </w:p>
    <w:p>
      <w:pPr>
        <w:widowControl/>
        <w:spacing w:line="380" w:lineRule="atLeast"/>
        <w:ind w:firstLine="422"/>
        <w:rPr>
          <w:color w:val="000000"/>
          <w:kern w:val="0"/>
        </w:rPr>
      </w:pPr>
      <w:r>
        <w:rPr>
          <w:rFonts w:hint="eastAsia"/>
          <w:color w:val="000000"/>
          <w:kern w:val="0"/>
        </w:rPr>
        <w:t>注册地址：【</w:t>
      </w:r>
      <w:r>
        <w:rPr>
          <w:rFonts w:hint="eastAsia" w:ascii="宋体" w:hAnsi="宋体" w:eastAsia="宋体" w:cs="宋体"/>
          <w:b w:val="0"/>
          <w:color w:val="000000"/>
          <w:kern w:val="2"/>
          <w:sz w:val="21"/>
          <w:szCs w:val="21"/>
          <w:lang w:val="en-US" w:eastAsia="zh-CN" w:bidi="ar"/>
        </w:rPr>
        <w:t>福建省福州市台江区江滨中大道</w:t>
      </w:r>
      <w:r>
        <w:rPr>
          <w:rFonts w:hint="eastAsia" w:ascii="宋体" w:hAnsi="宋体" w:eastAsia="宋体" w:cs="Times New Roman"/>
          <w:b w:val="0"/>
          <w:color w:val="000000"/>
          <w:kern w:val="2"/>
          <w:sz w:val="21"/>
          <w:szCs w:val="21"/>
          <w:lang w:val="en-US" w:eastAsia="zh-CN" w:bidi="ar"/>
        </w:rPr>
        <w:t>398号兴业银行大厦</w:t>
      </w:r>
      <w:r>
        <w:rPr>
          <w:rFonts w:hint="eastAsia"/>
          <w:color w:val="000000"/>
          <w:kern w:val="0"/>
        </w:rPr>
        <w:t>】</w:t>
      </w:r>
    </w:p>
    <w:p>
      <w:pPr>
        <w:widowControl/>
        <w:spacing w:line="380" w:lineRule="atLeast"/>
        <w:ind w:firstLine="422"/>
        <w:rPr>
          <w:rFonts w:hint="eastAsia"/>
          <w:color w:val="000000"/>
          <w:kern w:val="0"/>
        </w:rPr>
      </w:pPr>
      <w:r>
        <w:rPr>
          <w:rFonts w:hint="eastAsia"/>
          <w:color w:val="000000"/>
          <w:kern w:val="0"/>
        </w:rPr>
        <w:t>委托投资业务：【</w:t>
      </w:r>
      <w:r>
        <w:rPr>
          <w:rFonts w:hint="eastAsia" w:ascii="宋体" w:hAnsi="宋体" w:eastAsia="宋体" w:cs="Times New Roman"/>
          <w:b w:val="0"/>
          <w:color w:val="000000"/>
          <w:kern w:val="2"/>
          <w:sz w:val="21"/>
          <w:szCs w:val="21"/>
          <w:lang w:val="en-US" w:eastAsia="zh-CN" w:bidi="ar"/>
        </w:rPr>
        <w:t>固定收益类委托投资业务</w:t>
      </w:r>
      <w:r>
        <w:rPr>
          <w:rFonts w:hint="eastAsia"/>
          <w:color w:val="000000"/>
          <w:kern w:val="0"/>
        </w:rPr>
        <w:t>】</w:t>
      </w:r>
    </w:p>
    <w:p>
      <w:pPr>
        <w:widowControl/>
        <w:spacing w:line="380" w:lineRule="atLeast"/>
        <w:ind w:firstLine="422"/>
        <w:rPr>
          <w:color w:val="000000"/>
          <w:kern w:val="0"/>
        </w:rPr>
      </w:pPr>
      <w:r>
        <w:rPr>
          <w:rFonts w:hint="eastAsia"/>
          <w:color w:val="000000"/>
          <w:kern w:val="0"/>
        </w:rPr>
        <w:t>【</w:t>
      </w:r>
      <w:r>
        <w:rPr>
          <w:rFonts w:hint="eastAsia" w:ascii="宋体" w:hAnsi="宋体" w:eastAsia="宋体" w:cs="宋体"/>
          <w:b w:val="0"/>
          <w:color w:val="000000"/>
          <w:kern w:val="2"/>
          <w:sz w:val="21"/>
          <w:szCs w:val="21"/>
          <w:lang w:val="en-US" w:eastAsia="zh-CN" w:bidi="ar"/>
        </w:rPr>
        <w:t>交通银行股份有限公司</w:t>
      </w:r>
      <w:r>
        <w:rPr>
          <w:rFonts w:hint="eastAsia"/>
          <w:color w:val="000000"/>
          <w:kern w:val="0"/>
        </w:rPr>
        <w:t>】</w:t>
      </w:r>
    </w:p>
    <w:p>
      <w:pPr>
        <w:widowControl/>
        <w:spacing w:line="380" w:lineRule="atLeast"/>
        <w:ind w:firstLine="422"/>
        <w:rPr>
          <w:color w:val="000000"/>
          <w:kern w:val="0"/>
        </w:rPr>
      </w:pPr>
      <w:r>
        <w:rPr>
          <w:rFonts w:hint="eastAsia"/>
          <w:color w:val="000000"/>
          <w:kern w:val="0"/>
        </w:rPr>
        <w:t>注册地址：【</w:t>
      </w:r>
      <w:r>
        <w:rPr>
          <w:rFonts w:hint="eastAsia" w:ascii="宋体" w:hAnsi="宋体" w:eastAsia="宋体" w:cs="宋体"/>
          <w:b w:val="0"/>
          <w:color w:val="000000"/>
          <w:kern w:val="2"/>
          <w:sz w:val="21"/>
          <w:szCs w:val="21"/>
          <w:lang w:val="en-US" w:eastAsia="zh-CN" w:bidi="ar"/>
        </w:rPr>
        <w:t>中国（上海）自由贸易试验区银城中路</w:t>
      </w:r>
      <w:r>
        <w:rPr>
          <w:rFonts w:hint="eastAsia" w:ascii="宋体" w:hAnsi="宋体" w:eastAsia="宋体" w:cs="Times New Roman"/>
          <w:b w:val="0"/>
          <w:color w:val="000000"/>
          <w:kern w:val="2"/>
          <w:sz w:val="21"/>
          <w:szCs w:val="21"/>
          <w:lang w:val="en-US" w:eastAsia="zh-CN" w:bidi="ar"/>
        </w:rPr>
        <w:t>188号</w:t>
      </w:r>
      <w:r>
        <w:rPr>
          <w:rFonts w:hint="eastAsia"/>
          <w:color w:val="000000"/>
          <w:kern w:val="0"/>
        </w:rPr>
        <w:t>】</w:t>
      </w:r>
    </w:p>
    <w:p>
      <w:r>
        <w:rPr>
          <w:rFonts w:hint="eastAsia"/>
          <w:color w:val="000000"/>
          <w:kern w:val="0"/>
        </w:rPr>
        <w:t>委托投资业务：【</w:t>
      </w:r>
      <w:r>
        <w:rPr>
          <w:rFonts w:hint="eastAsia" w:ascii="宋体" w:hAnsi="宋体" w:eastAsia="宋体" w:cs="Times New Roman"/>
          <w:b w:val="0"/>
          <w:color w:val="000000"/>
          <w:kern w:val="2"/>
          <w:sz w:val="21"/>
          <w:szCs w:val="21"/>
          <w:lang w:val="en-US" w:eastAsia="zh-CN" w:bidi="ar"/>
        </w:rPr>
        <w:t>固定收益类委托投资业务</w:t>
      </w:r>
      <w:r>
        <w:rPr>
          <w:rFonts w:hint="eastAsia"/>
          <w:color w:val="000000"/>
          <w:kern w:val="0"/>
        </w:rPr>
        <w:t>】</w:t>
      </w:r>
    </w:p>
    <w:p>
      <w:pPr>
        <w:spacing w:line="360" w:lineRule="auto"/>
        <w:ind w:firstLine="422" w:firstLineChars="200"/>
        <w:outlineLvl w:val="1"/>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六、投资者账户</w:t>
      </w:r>
    </w:p>
    <w:p>
      <w:pPr>
        <w:widowControl/>
        <w:spacing w:line="380" w:lineRule="atLeast"/>
        <w:ind w:firstLine="420"/>
        <w:rPr>
          <w:rFonts w:ascii="宋体" w:hAnsi="宋体" w:cs="宋体"/>
          <w:color w:val="000000"/>
          <w:szCs w:val="21"/>
          <w:highlight w:val="none"/>
          <w:lang w:bidi="ar"/>
        </w:rPr>
      </w:pPr>
      <w:r>
        <w:rPr>
          <w:rFonts w:hint="eastAsia" w:ascii="宋体" w:hAnsi="宋体" w:cs="宋体"/>
          <w:color w:val="000000"/>
          <w:szCs w:val="21"/>
          <w:highlight w:val="none"/>
          <w:lang w:bidi="ar"/>
        </w:rPr>
        <w:t>投资者认购或申购本理财产品的资金划出账户应与本理财产品到期或期间赎回接收资金的账户相同。在本理财产品存续期间，除非经管理人同意，该账户不得变更、注销。如发生投资者账户被有权机关采取司法强制措施的，投资者不得申请对投资者账户予以变更或注销。</w:t>
      </w:r>
    </w:p>
    <w:p>
      <w:pPr>
        <w:spacing w:line="360" w:lineRule="auto"/>
        <w:ind w:firstLine="422" w:firstLineChars="200"/>
        <w:outlineLvl w:val="1"/>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七、投资相关事项</w:t>
      </w:r>
    </w:p>
    <w:p>
      <w:pPr>
        <w:adjustRightInd w:val="0"/>
        <w:snapToGrid w:val="0"/>
        <w:spacing w:line="520" w:lineRule="exact"/>
        <w:ind w:firstLine="422" w:firstLineChars="200"/>
        <w:rPr>
          <w:b/>
          <w:szCs w:val="21"/>
          <w:highlight w:val="none"/>
        </w:rPr>
      </w:pPr>
      <w:r>
        <w:rPr>
          <w:rFonts w:hint="eastAsia" w:ascii="宋体" w:hAnsi="宋体"/>
          <w:b/>
          <w:szCs w:val="21"/>
          <w:highlight w:val="none"/>
        </w:rPr>
        <w:t>（一）本理财产品资金应当投资于以下金融工具：</w:t>
      </w:r>
    </w:p>
    <w:p>
      <w:pPr>
        <w:adjustRightInd w:val="0"/>
        <w:snapToGrid w:val="0"/>
        <w:spacing w:line="380" w:lineRule="atLeast"/>
        <w:ind w:firstLine="420" w:firstLineChars="200"/>
        <w:rPr>
          <w:rFonts w:ascii="宋体" w:hAnsi="宋体" w:cs="宋体"/>
          <w:color w:val="000000"/>
          <w:szCs w:val="21"/>
          <w:highlight w:val="none"/>
          <w:lang w:bidi="ar"/>
        </w:rPr>
      </w:pPr>
      <w:r>
        <w:rPr>
          <w:rFonts w:hint="eastAsia" w:ascii="宋体" w:hAnsi="宋体" w:cs="宋体"/>
          <w:color w:val="000000"/>
          <w:szCs w:val="21"/>
          <w:highlight w:val="none"/>
          <w:lang w:bidi="ar"/>
        </w:rPr>
        <w:t>1.现金；</w:t>
      </w:r>
    </w:p>
    <w:p>
      <w:pPr>
        <w:adjustRightInd w:val="0"/>
        <w:snapToGrid w:val="0"/>
        <w:spacing w:line="380" w:lineRule="atLeast"/>
        <w:ind w:firstLine="420" w:firstLineChars="200"/>
        <w:rPr>
          <w:rFonts w:ascii="宋体" w:hAnsi="宋体" w:cs="宋体"/>
          <w:color w:val="000000"/>
          <w:szCs w:val="21"/>
          <w:highlight w:val="none"/>
          <w:lang w:bidi="ar"/>
        </w:rPr>
      </w:pPr>
      <w:r>
        <w:rPr>
          <w:rFonts w:hint="eastAsia" w:ascii="宋体" w:hAnsi="宋体" w:cs="宋体"/>
          <w:color w:val="000000"/>
          <w:szCs w:val="21"/>
          <w:highlight w:val="none"/>
          <w:lang w:bidi="ar"/>
        </w:rPr>
        <w:t>2.期限在1年以内（含1年）的银行存款、债券回购、中央银行票据、同业存单；</w:t>
      </w:r>
    </w:p>
    <w:p>
      <w:pPr>
        <w:adjustRightInd w:val="0"/>
        <w:snapToGrid w:val="0"/>
        <w:spacing w:line="380" w:lineRule="atLeast"/>
        <w:ind w:firstLine="420" w:firstLineChars="200"/>
        <w:rPr>
          <w:rFonts w:ascii="宋体" w:hAnsi="宋体" w:cs="宋体"/>
          <w:color w:val="000000"/>
          <w:szCs w:val="21"/>
          <w:highlight w:val="none"/>
          <w:lang w:bidi="ar"/>
        </w:rPr>
      </w:pPr>
      <w:r>
        <w:rPr>
          <w:rFonts w:hint="eastAsia" w:ascii="宋体" w:hAnsi="宋体" w:cs="宋体"/>
          <w:color w:val="000000"/>
          <w:szCs w:val="21"/>
          <w:highlight w:val="none"/>
          <w:lang w:bidi="ar"/>
        </w:rPr>
        <w:t>3.剩余期限在397天以内（含397天）的债券、在银行间市场和证券交易所市场发行的资产支持证券；</w:t>
      </w:r>
    </w:p>
    <w:p>
      <w:pPr>
        <w:adjustRightInd w:val="0"/>
        <w:snapToGrid w:val="0"/>
        <w:spacing w:line="380" w:lineRule="atLeast"/>
        <w:ind w:firstLine="420" w:firstLineChars="200"/>
        <w:rPr>
          <w:rFonts w:ascii="宋体" w:hAnsi="宋体" w:cs="宋体"/>
          <w:color w:val="000000"/>
          <w:szCs w:val="21"/>
          <w:highlight w:val="none"/>
          <w:lang w:bidi="ar"/>
        </w:rPr>
      </w:pPr>
      <w:r>
        <w:rPr>
          <w:rFonts w:hint="eastAsia" w:ascii="宋体" w:hAnsi="宋体" w:cs="宋体"/>
          <w:color w:val="000000"/>
          <w:szCs w:val="21"/>
          <w:highlight w:val="none"/>
          <w:lang w:bidi="ar"/>
        </w:rPr>
        <w:t>4.</w:t>
      </w:r>
      <w:r>
        <w:rPr>
          <w:rFonts w:hint="eastAsia" w:ascii="宋体" w:hAnsi="宋体" w:cs="宋体"/>
          <w:color w:val="000000"/>
          <w:szCs w:val="21"/>
          <w:highlight w:val="none"/>
          <w:lang w:eastAsia="zh-CN" w:bidi="ar"/>
        </w:rPr>
        <w:t>金融监督管理部门</w:t>
      </w:r>
      <w:r>
        <w:rPr>
          <w:rFonts w:hint="eastAsia" w:ascii="宋体" w:hAnsi="宋体" w:cs="宋体"/>
          <w:color w:val="000000"/>
          <w:szCs w:val="21"/>
          <w:highlight w:val="none"/>
          <w:lang w:bidi="ar"/>
        </w:rPr>
        <w:t>、中国人民银行认可的其他具有良好流动性的货币市场工具。</w:t>
      </w:r>
    </w:p>
    <w:p>
      <w:pPr>
        <w:adjustRightInd w:val="0"/>
        <w:snapToGrid w:val="0"/>
        <w:spacing w:line="520" w:lineRule="exact"/>
        <w:ind w:firstLine="422" w:firstLineChars="200"/>
        <w:rPr>
          <w:b/>
          <w:szCs w:val="21"/>
          <w:highlight w:val="none"/>
        </w:rPr>
      </w:pPr>
      <w:r>
        <w:rPr>
          <w:rFonts w:hint="eastAsia" w:ascii="宋体" w:hAnsi="宋体"/>
          <w:b/>
          <w:szCs w:val="21"/>
          <w:highlight w:val="none"/>
        </w:rPr>
        <w:t>（二）本理财产品资金不得投资于以下金融工具：</w:t>
      </w:r>
    </w:p>
    <w:p>
      <w:pPr>
        <w:adjustRightInd w:val="0"/>
        <w:snapToGrid w:val="0"/>
        <w:spacing w:line="380" w:lineRule="atLeast"/>
        <w:ind w:firstLine="420" w:firstLineChars="200"/>
        <w:rPr>
          <w:rFonts w:ascii="宋体" w:hAnsi="宋体" w:cs="宋体"/>
          <w:color w:val="000000"/>
          <w:szCs w:val="21"/>
          <w:highlight w:val="none"/>
          <w:lang w:bidi="ar"/>
        </w:rPr>
      </w:pPr>
      <w:r>
        <w:rPr>
          <w:rFonts w:hint="eastAsia" w:ascii="宋体" w:hAnsi="宋体" w:cs="宋体"/>
          <w:color w:val="000000"/>
          <w:szCs w:val="21"/>
          <w:highlight w:val="none"/>
          <w:lang w:bidi="ar"/>
        </w:rPr>
        <w:t>1.股票；</w:t>
      </w:r>
    </w:p>
    <w:p>
      <w:pPr>
        <w:adjustRightInd w:val="0"/>
        <w:snapToGrid w:val="0"/>
        <w:spacing w:line="380" w:lineRule="atLeast"/>
        <w:ind w:firstLine="420" w:firstLineChars="200"/>
        <w:rPr>
          <w:rFonts w:ascii="宋体" w:hAnsi="宋体" w:cs="宋体"/>
          <w:color w:val="000000"/>
          <w:szCs w:val="21"/>
          <w:highlight w:val="none"/>
          <w:lang w:bidi="ar"/>
        </w:rPr>
      </w:pPr>
      <w:r>
        <w:rPr>
          <w:rFonts w:hint="eastAsia" w:ascii="宋体" w:hAnsi="宋体" w:cs="宋体"/>
          <w:color w:val="000000"/>
          <w:szCs w:val="21"/>
          <w:highlight w:val="none"/>
          <w:lang w:bidi="ar"/>
        </w:rPr>
        <w:t>2.可转换债券、可交换债券；</w:t>
      </w:r>
    </w:p>
    <w:p>
      <w:pPr>
        <w:adjustRightInd w:val="0"/>
        <w:snapToGrid w:val="0"/>
        <w:spacing w:line="380" w:lineRule="atLeast"/>
        <w:ind w:firstLine="420" w:firstLineChars="200"/>
        <w:rPr>
          <w:rFonts w:ascii="宋体" w:hAnsi="宋体" w:cs="宋体"/>
          <w:color w:val="000000"/>
          <w:szCs w:val="21"/>
          <w:highlight w:val="none"/>
          <w:lang w:bidi="ar"/>
        </w:rPr>
      </w:pPr>
      <w:r>
        <w:rPr>
          <w:rFonts w:hint="eastAsia" w:ascii="宋体" w:hAnsi="宋体" w:cs="宋体"/>
          <w:color w:val="000000"/>
          <w:szCs w:val="21"/>
          <w:highlight w:val="none"/>
          <w:lang w:bidi="ar"/>
        </w:rPr>
        <w:t>3.以定期存款利率为基准利率的浮动利率债券，已进入最后一个利率调整期的除外；</w:t>
      </w:r>
    </w:p>
    <w:p>
      <w:pPr>
        <w:adjustRightInd w:val="0"/>
        <w:snapToGrid w:val="0"/>
        <w:spacing w:line="380" w:lineRule="atLeast"/>
        <w:ind w:firstLine="420" w:firstLineChars="200"/>
        <w:rPr>
          <w:rFonts w:ascii="宋体" w:hAnsi="宋体" w:cs="宋体"/>
          <w:color w:val="000000"/>
          <w:szCs w:val="21"/>
          <w:highlight w:val="none"/>
          <w:lang w:bidi="ar"/>
        </w:rPr>
      </w:pPr>
      <w:r>
        <w:rPr>
          <w:rFonts w:hint="eastAsia" w:ascii="宋体" w:hAnsi="宋体" w:cs="宋体"/>
          <w:color w:val="000000"/>
          <w:szCs w:val="21"/>
          <w:highlight w:val="none"/>
          <w:lang w:bidi="ar"/>
        </w:rPr>
        <w:t>4.信用等级在AA+以下的债券、资产支持证券；</w:t>
      </w:r>
    </w:p>
    <w:p>
      <w:pPr>
        <w:adjustRightInd w:val="0"/>
        <w:snapToGrid w:val="0"/>
        <w:spacing w:line="380" w:lineRule="atLeast"/>
        <w:ind w:firstLine="420" w:firstLineChars="200"/>
        <w:rPr>
          <w:rFonts w:ascii="宋体" w:hAnsi="宋体" w:cs="宋体"/>
          <w:color w:val="000000"/>
          <w:szCs w:val="21"/>
          <w:highlight w:val="none"/>
          <w:lang w:bidi="ar"/>
        </w:rPr>
      </w:pPr>
      <w:r>
        <w:rPr>
          <w:rFonts w:hint="eastAsia" w:ascii="宋体" w:hAnsi="宋体" w:cs="宋体"/>
          <w:color w:val="000000"/>
          <w:szCs w:val="21"/>
          <w:highlight w:val="none"/>
          <w:lang w:bidi="ar"/>
        </w:rPr>
        <w:t>5.</w:t>
      </w:r>
      <w:r>
        <w:rPr>
          <w:rFonts w:hint="eastAsia" w:ascii="宋体" w:hAnsi="宋体" w:cs="宋体"/>
          <w:color w:val="000000"/>
          <w:szCs w:val="21"/>
          <w:highlight w:val="none"/>
          <w:lang w:eastAsia="zh-CN" w:bidi="ar"/>
        </w:rPr>
        <w:t>金融监督管理部门</w:t>
      </w:r>
      <w:r>
        <w:rPr>
          <w:rFonts w:hint="eastAsia" w:ascii="宋体" w:hAnsi="宋体" w:cs="宋体"/>
          <w:color w:val="000000"/>
          <w:szCs w:val="21"/>
          <w:highlight w:val="none"/>
          <w:lang w:bidi="ar"/>
        </w:rPr>
        <w:t>、中国人民银行禁止投资的其他金融工具。</w:t>
      </w:r>
    </w:p>
    <w:p>
      <w:pPr>
        <w:adjustRightInd w:val="0"/>
        <w:snapToGrid w:val="0"/>
        <w:spacing w:line="380" w:lineRule="atLeast"/>
        <w:ind w:firstLine="420" w:firstLineChars="200"/>
        <w:rPr>
          <w:rFonts w:ascii="宋体" w:hAnsi="宋体" w:cs="宋体"/>
          <w:color w:val="000000"/>
          <w:szCs w:val="21"/>
          <w:highlight w:val="none"/>
          <w:lang w:bidi="ar"/>
        </w:rPr>
      </w:pPr>
      <w:r>
        <w:rPr>
          <w:rFonts w:hint="eastAsia" w:ascii="宋体" w:hAnsi="宋体" w:cs="宋体"/>
          <w:color w:val="000000"/>
          <w:szCs w:val="21"/>
          <w:highlight w:val="none"/>
          <w:lang w:bidi="ar"/>
        </w:rPr>
        <w:t>前款所述债券的信用等级应当主要参照最近一个会计年度的主体信用评级，如果对发行人同时有两家以上境内评级机构评级的，选择使用评级较低、违约概率较大的外部评级结果。</w:t>
      </w:r>
    </w:p>
    <w:p>
      <w:pPr>
        <w:adjustRightInd w:val="0"/>
        <w:snapToGrid w:val="0"/>
        <w:spacing w:line="520" w:lineRule="exact"/>
        <w:ind w:firstLine="422" w:firstLineChars="200"/>
        <w:rPr>
          <w:rFonts w:hint="eastAsia" w:ascii="宋体" w:hAnsi="宋体"/>
          <w:b/>
          <w:szCs w:val="21"/>
          <w:highlight w:val="none"/>
        </w:rPr>
      </w:pPr>
      <w:r>
        <w:rPr>
          <w:rFonts w:hint="eastAsia" w:ascii="宋体" w:hAnsi="宋体"/>
          <w:b/>
          <w:szCs w:val="21"/>
          <w:highlight w:val="none"/>
        </w:rPr>
        <w:t>（三）各拟投资资产种类的投资比例</w:t>
      </w:r>
    </w:p>
    <w:p>
      <w:pPr>
        <w:pStyle w:val="2"/>
        <w:numPr>
          <w:ilvl w:val="0"/>
          <w:numId w:val="0"/>
        </w:numPr>
        <w:ind w:firstLine="422" w:firstLineChars="200"/>
        <w:rPr>
          <w:highlight w:val="none"/>
        </w:rPr>
      </w:pPr>
      <w:r>
        <w:rPr>
          <w:rFonts w:hint="eastAsia" w:ascii="宋体" w:hAnsi="宋体" w:cs="宋体"/>
          <w:b/>
          <w:kern w:val="2"/>
          <w:sz w:val="21"/>
          <w:szCs w:val="21"/>
          <w:highlight w:val="none"/>
          <w:lang w:val="en-US" w:eastAsia="zh-CN" w:bidi="ar"/>
        </w:rPr>
        <w:t>本理财产品所募集资金投资于货币市场工具及包含货币市场工具的信托计划、资产管理计划等符合监管要求的金融资产。</w:t>
      </w:r>
    </w:p>
    <w:tbl>
      <w:tblPr>
        <w:tblStyle w:val="8"/>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0"/>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0" w:type="dxa"/>
          </w:tcPr>
          <w:p>
            <w:pPr>
              <w:snapToGrid w:val="0"/>
              <w:spacing w:line="460" w:lineRule="exact"/>
              <w:ind w:firstLine="105" w:firstLineChars="50"/>
              <w:jc w:val="center"/>
              <w:rPr>
                <w:rFonts w:ascii="宋体" w:hAnsi="宋体"/>
                <w:b/>
                <w:kern w:val="0"/>
                <w:szCs w:val="21"/>
                <w:highlight w:val="none"/>
              </w:rPr>
            </w:pPr>
            <w:r>
              <w:rPr>
                <w:rFonts w:hint="eastAsia" w:ascii="宋体" w:hAnsi="宋体"/>
                <w:b/>
                <w:kern w:val="0"/>
                <w:szCs w:val="21"/>
                <w:highlight w:val="none"/>
              </w:rPr>
              <w:t>资产</w:t>
            </w:r>
          </w:p>
        </w:tc>
        <w:tc>
          <w:tcPr>
            <w:tcW w:w="2551" w:type="dxa"/>
          </w:tcPr>
          <w:p>
            <w:pPr>
              <w:snapToGrid w:val="0"/>
              <w:spacing w:line="460" w:lineRule="exact"/>
              <w:ind w:firstLine="422" w:firstLineChars="200"/>
              <w:jc w:val="center"/>
              <w:rPr>
                <w:rFonts w:ascii="宋体" w:hAnsi="宋体"/>
                <w:b/>
                <w:kern w:val="0"/>
                <w:szCs w:val="21"/>
                <w:highlight w:val="none"/>
              </w:rPr>
            </w:pPr>
            <w:r>
              <w:rPr>
                <w:rFonts w:hint="eastAsia" w:ascii="宋体" w:hAnsi="宋体"/>
                <w:b/>
                <w:kern w:val="0"/>
                <w:szCs w:val="21"/>
                <w:highlight w:val="none"/>
              </w:rPr>
              <w:t>投资比例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0" w:type="dxa"/>
            <w:vAlign w:val="center"/>
          </w:tcPr>
          <w:p>
            <w:pPr>
              <w:snapToGrid w:val="0"/>
              <w:spacing w:line="460" w:lineRule="exact"/>
              <w:ind w:firstLine="200"/>
              <w:rPr>
                <w:rFonts w:ascii="宋体" w:hAnsi="宋体"/>
                <w:kern w:val="0"/>
                <w:szCs w:val="21"/>
                <w:highlight w:val="none"/>
              </w:rPr>
            </w:pPr>
            <w:r>
              <w:rPr>
                <w:rFonts w:hint="eastAsia" w:ascii="宋体" w:hAnsi="宋体"/>
                <w:kern w:val="0"/>
                <w:szCs w:val="21"/>
                <w:highlight w:val="none"/>
              </w:rPr>
              <w:t>现金</w:t>
            </w:r>
          </w:p>
        </w:tc>
        <w:tc>
          <w:tcPr>
            <w:tcW w:w="2551" w:type="dxa"/>
            <w:vAlign w:val="center"/>
          </w:tcPr>
          <w:p>
            <w:pPr>
              <w:snapToGrid w:val="0"/>
              <w:spacing w:line="460" w:lineRule="exact"/>
              <w:ind w:firstLine="735" w:firstLineChars="350"/>
              <w:rPr>
                <w:rFonts w:ascii="宋体" w:hAnsi="宋体"/>
                <w:kern w:val="0"/>
                <w:szCs w:val="21"/>
                <w:highlight w:val="none"/>
              </w:rPr>
            </w:pPr>
            <w:r>
              <w:rPr>
                <w:rFonts w:hint="eastAsia" w:ascii="宋体" w:hAnsi="宋体"/>
                <w:kern w:val="0"/>
                <w:szCs w:val="21"/>
                <w:highlight w:val="none"/>
              </w:rPr>
              <w:t>0~20</w:t>
            </w:r>
            <w:r>
              <w:rPr>
                <w:rFonts w:ascii="宋体" w:hAnsi="宋体"/>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6380" w:type="dxa"/>
            <w:vAlign w:val="center"/>
          </w:tcPr>
          <w:p>
            <w:pPr>
              <w:widowControl/>
              <w:spacing w:line="460" w:lineRule="exact"/>
              <w:ind w:firstLine="105" w:firstLineChars="50"/>
              <w:rPr>
                <w:rFonts w:ascii="宋体" w:hAnsi="宋体"/>
                <w:kern w:val="0"/>
                <w:szCs w:val="21"/>
                <w:highlight w:val="none"/>
              </w:rPr>
            </w:pPr>
            <w:r>
              <w:rPr>
                <w:rFonts w:hint="eastAsia" w:ascii="宋体" w:hAnsi="宋体"/>
                <w:kern w:val="0"/>
                <w:szCs w:val="21"/>
                <w:highlight w:val="none"/>
              </w:rPr>
              <w:t>期限在1年以内（含1年）的银行存款、债券回购、中央银行票据、同业存单</w:t>
            </w:r>
          </w:p>
        </w:tc>
        <w:tc>
          <w:tcPr>
            <w:tcW w:w="2551" w:type="dxa"/>
            <w:vAlign w:val="center"/>
          </w:tcPr>
          <w:p>
            <w:pPr>
              <w:snapToGrid w:val="0"/>
              <w:spacing w:line="460" w:lineRule="exact"/>
              <w:ind w:firstLine="735" w:firstLineChars="350"/>
              <w:rPr>
                <w:rFonts w:ascii="宋体" w:hAnsi="宋体"/>
                <w:kern w:val="0"/>
                <w:szCs w:val="21"/>
                <w:highlight w:val="none"/>
              </w:rPr>
            </w:pPr>
            <w:r>
              <w:rPr>
                <w:rFonts w:hint="eastAsia" w:ascii="宋体" w:hAnsi="宋体"/>
                <w:kern w:val="0"/>
                <w:szCs w:val="21"/>
                <w:highlight w:val="none"/>
              </w:rPr>
              <w:t>0~80</w:t>
            </w:r>
            <w:r>
              <w:rPr>
                <w:rFonts w:ascii="宋体" w:hAnsi="宋体"/>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6380" w:type="dxa"/>
            <w:vAlign w:val="center"/>
          </w:tcPr>
          <w:p>
            <w:pPr>
              <w:widowControl/>
              <w:spacing w:line="460" w:lineRule="exact"/>
              <w:ind w:firstLine="105" w:firstLineChars="50"/>
              <w:rPr>
                <w:rFonts w:ascii="宋体" w:hAnsi="宋体"/>
                <w:kern w:val="0"/>
                <w:szCs w:val="21"/>
                <w:highlight w:val="none"/>
              </w:rPr>
            </w:pPr>
            <w:r>
              <w:rPr>
                <w:rFonts w:hint="eastAsia" w:ascii="宋体" w:hAnsi="宋体"/>
                <w:kern w:val="0"/>
                <w:szCs w:val="21"/>
                <w:highlight w:val="none"/>
              </w:rPr>
              <w:t>剩余期限在397天以内（含397天）的债券、在银行间市场和证券交易所市场发行的资产支持证券、</w:t>
            </w:r>
            <w:r>
              <w:rPr>
                <w:rFonts w:hint="eastAsia" w:ascii="宋体" w:hAnsi="宋体"/>
                <w:kern w:val="0"/>
                <w:szCs w:val="21"/>
                <w:highlight w:val="none"/>
                <w:lang w:eastAsia="zh-CN"/>
              </w:rPr>
              <w:t>金融监督管理部门</w:t>
            </w:r>
            <w:r>
              <w:rPr>
                <w:rFonts w:hint="eastAsia" w:ascii="宋体" w:hAnsi="宋体"/>
                <w:kern w:val="0"/>
                <w:szCs w:val="21"/>
                <w:highlight w:val="none"/>
              </w:rPr>
              <w:t>、中国人民银行认可的其他具有良好流动性的货币市场工具</w:t>
            </w:r>
          </w:p>
        </w:tc>
        <w:tc>
          <w:tcPr>
            <w:tcW w:w="2551" w:type="dxa"/>
            <w:vAlign w:val="center"/>
          </w:tcPr>
          <w:p>
            <w:pPr>
              <w:snapToGrid w:val="0"/>
              <w:spacing w:line="460" w:lineRule="exact"/>
              <w:ind w:firstLine="735" w:firstLineChars="350"/>
              <w:rPr>
                <w:rFonts w:ascii="宋体" w:hAnsi="宋体"/>
                <w:kern w:val="0"/>
                <w:szCs w:val="21"/>
                <w:highlight w:val="none"/>
              </w:rPr>
            </w:pPr>
            <w:r>
              <w:rPr>
                <w:rFonts w:hint="eastAsia" w:ascii="宋体" w:hAnsi="宋体"/>
                <w:kern w:val="0"/>
                <w:szCs w:val="21"/>
                <w:highlight w:val="none"/>
              </w:rPr>
              <w:t>0~100</w:t>
            </w:r>
            <w:r>
              <w:rPr>
                <w:rFonts w:ascii="宋体" w:hAnsi="宋体"/>
                <w:kern w:val="0"/>
                <w:szCs w:val="21"/>
                <w:highlight w:val="none"/>
              </w:rPr>
              <w:t>%</w:t>
            </w:r>
          </w:p>
        </w:tc>
      </w:tr>
    </w:tbl>
    <w:p>
      <w:pPr>
        <w:widowControl/>
        <w:spacing w:line="380" w:lineRule="atLeast"/>
        <w:ind w:firstLine="422"/>
        <w:rPr>
          <w:rFonts w:ascii="Calibri" w:hAnsi="Calibri" w:cs="Calibri"/>
          <w:b/>
          <w:bCs/>
          <w:color w:val="000000"/>
          <w:szCs w:val="21"/>
          <w:highlight w:val="none"/>
        </w:rPr>
      </w:pPr>
      <w:r>
        <w:rPr>
          <w:rFonts w:hint="eastAsia" w:ascii="宋体" w:hAnsi="宋体"/>
          <w:b/>
          <w:szCs w:val="21"/>
          <w:highlight w:val="none"/>
        </w:rPr>
        <w:t>1.以上投资比例可在［-20%,+20%］的区间内浮动。</w:t>
      </w:r>
      <w:r>
        <w:rPr>
          <w:rFonts w:hint="eastAsia" w:ascii="宋体" w:hAnsi="宋体" w:eastAsia="宋体" w:cs="Times New Roman"/>
          <w:b/>
          <w:kern w:val="2"/>
          <w:sz w:val="21"/>
          <w:szCs w:val="21"/>
          <w:highlight w:val="none"/>
          <w:lang w:val="en-US" w:eastAsia="zh-CN" w:bidi="ar"/>
        </w:rPr>
        <w:t>本理财产品成立之日起3个月为建仓期，建仓期内各类资产的投资比例可暂时不满足上述要求</w:t>
      </w:r>
      <w:r>
        <w:rPr>
          <w:rFonts w:hint="eastAsia" w:ascii="宋体" w:hAnsi="宋体"/>
          <w:b/>
          <w:szCs w:val="21"/>
          <w:highlight w:val="none"/>
        </w:rPr>
        <w:t>，上述期间内，本产品的投资范围、投资策略应当符合本理财产品说明书的约定。若市场发生重大变化等</w:t>
      </w:r>
      <w:r>
        <w:rPr>
          <w:rFonts w:hint="eastAsia" w:ascii="Calibri" w:hAnsi="Calibri" w:cs="Calibri"/>
          <w:b/>
          <w:bCs/>
          <w:color w:val="000000"/>
          <w:szCs w:val="21"/>
          <w:highlight w:val="none"/>
        </w:rPr>
        <w:t>非因管理人主观因素导致突破前述比例限制的，管理人</w:t>
      </w:r>
      <w:r>
        <w:rPr>
          <w:rFonts w:hint="eastAsia" w:ascii="Calibri" w:hAnsi="Calibri" w:cs="Calibri"/>
          <w:b/>
          <w:bCs/>
          <w:color w:val="000000"/>
          <w:szCs w:val="21"/>
          <w:highlight w:val="none"/>
          <w:lang w:eastAsia="zh-CN"/>
        </w:rPr>
        <w:t>应当</w:t>
      </w:r>
      <w:r>
        <w:rPr>
          <w:rFonts w:hint="eastAsia" w:ascii="Calibri" w:hAnsi="Calibri" w:cs="Calibri"/>
          <w:b/>
          <w:bCs/>
          <w:color w:val="000000"/>
          <w:szCs w:val="21"/>
          <w:highlight w:val="none"/>
        </w:rPr>
        <w:t>在流动性受限资产可出售、可转让或者恢复交易的1</w:t>
      </w:r>
      <w:r>
        <w:rPr>
          <w:rFonts w:ascii="Calibri" w:hAnsi="Calibri" w:cs="Calibri"/>
          <w:b/>
          <w:bCs/>
          <w:color w:val="000000"/>
          <w:szCs w:val="21"/>
          <w:highlight w:val="none"/>
        </w:rPr>
        <w:t>0</w:t>
      </w:r>
      <w:r>
        <w:rPr>
          <w:rFonts w:hint="eastAsia" w:ascii="Calibri" w:hAnsi="Calibri" w:cs="Calibri"/>
          <w:b/>
          <w:bCs/>
          <w:color w:val="000000"/>
          <w:szCs w:val="21"/>
          <w:highlight w:val="none"/>
        </w:rPr>
        <w:t>个交易日内调整至符合相关要求，国务院银行业监督管理机构规定的特殊情形除外。</w:t>
      </w:r>
    </w:p>
    <w:p>
      <w:pPr>
        <w:widowControl/>
        <w:spacing w:line="380" w:lineRule="atLeast"/>
        <w:ind w:firstLine="422"/>
        <w:rPr>
          <w:highlight w:val="none"/>
        </w:rPr>
      </w:pPr>
      <w:r>
        <w:rPr>
          <w:rFonts w:hint="eastAsia" w:ascii="Calibri" w:hAnsi="Calibri" w:cs="Calibri"/>
          <w:b/>
          <w:bCs/>
          <w:color w:val="000000"/>
          <w:szCs w:val="21"/>
          <w:highlight w:val="none"/>
        </w:rPr>
        <w:t>若市场发生重大变化导致比例暂时超出该浮动范围且可能对理财产品收益产生重大影响，则管理人会在2个工作日内进行公开信息披露，若投资者不接受，投资者可申请赎回本理财产品。</w:t>
      </w:r>
    </w:p>
    <w:p>
      <w:pPr>
        <w:widowControl/>
        <w:spacing w:line="380" w:lineRule="atLeast"/>
        <w:ind w:firstLine="422"/>
        <w:rPr>
          <w:rFonts w:ascii="Calibri" w:hAnsi="Calibri" w:cs="Calibri"/>
          <w:b/>
          <w:bCs/>
          <w:color w:val="000000"/>
          <w:szCs w:val="21"/>
          <w:highlight w:val="none"/>
        </w:rPr>
      </w:pPr>
      <w:r>
        <w:rPr>
          <w:rFonts w:hint="eastAsia" w:ascii="Calibri" w:hAnsi="Calibri" w:cs="Calibri"/>
          <w:b/>
          <w:bCs/>
          <w:color w:val="000000"/>
          <w:szCs w:val="21"/>
          <w:highlight w:val="none"/>
        </w:rPr>
        <w:t>2.管理人</w:t>
      </w:r>
      <w:r>
        <w:rPr>
          <w:rFonts w:ascii="Calibri" w:hAnsi="Calibri" w:cs="Calibri"/>
          <w:b/>
          <w:bCs/>
          <w:color w:val="000000"/>
          <w:szCs w:val="21"/>
          <w:highlight w:val="none"/>
        </w:rPr>
        <w:t>有权根据市场实际情况，在不对投资者实质性权益产生重大影响且按约</w:t>
      </w:r>
      <w:r>
        <w:rPr>
          <w:rFonts w:hint="eastAsia" w:ascii="Calibri" w:hAnsi="Calibri" w:cs="Calibri"/>
          <w:b/>
          <w:bCs/>
          <w:color w:val="000000"/>
          <w:szCs w:val="21"/>
          <w:highlight w:val="none"/>
        </w:rPr>
        <w:t>定</w:t>
      </w:r>
      <w:r>
        <w:rPr>
          <w:rFonts w:ascii="Calibri" w:hAnsi="Calibri" w:cs="Calibri"/>
          <w:b/>
          <w:bCs/>
          <w:color w:val="000000"/>
          <w:szCs w:val="21"/>
          <w:highlight w:val="none"/>
        </w:rPr>
        <w:t>公告的前提下，对本理财产品的投资种类和投资比例进行调整。</w:t>
      </w:r>
      <w:r>
        <w:rPr>
          <w:rFonts w:hint="eastAsia" w:ascii="宋体" w:hAnsi="宋体" w:cs="宋体"/>
          <w:b/>
          <w:kern w:val="0"/>
          <w:szCs w:val="21"/>
          <w:highlight w:val="none"/>
          <w:lang w:bidi="ar"/>
        </w:rPr>
        <w:t>超出理财产品销售文件约定比例的，除高风险类型的理财产品超出比例范围投资较低风险资产外，需取得投资者书面同意，</w:t>
      </w:r>
      <w:r>
        <w:rPr>
          <w:rFonts w:hint="eastAsia" w:ascii="Calibri" w:hAnsi="Calibri" w:cs="Calibri"/>
          <w:b/>
          <w:bCs/>
          <w:color w:val="000000"/>
          <w:szCs w:val="21"/>
          <w:highlight w:val="none"/>
        </w:rPr>
        <w:t>若投资者不接受，投资者可申请赎回本理财产品。</w:t>
      </w:r>
    </w:p>
    <w:p>
      <w:pPr>
        <w:adjustRightInd w:val="0"/>
        <w:snapToGrid w:val="0"/>
        <w:spacing w:line="520" w:lineRule="exact"/>
        <w:ind w:firstLine="422" w:firstLineChars="200"/>
        <w:rPr>
          <w:rFonts w:ascii="宋体" w:hAnsi="宋体"/>
          <w:b/>
          <w:szCs w:val="21"/>
          <w:highlight w:val="none"/>
        </w:rPr>
      </w:pPr>
      <w:r>
        <w:rPr>
          <w:rFonts w:hint="eastAsia" w:ascii="宋体" w:hAnsi="宋体"/>
          <w:b/>
          <w:szCs w:val="21"/>
          <w:highlight w:val="none"/>
        </w:rPr>
        <w:t>（四）投资管理策略</w:t>
      </w:r>
    </w:p>
    <w:p>
      <w:pPr>
        <w:adjustRightInd w:val="0"/>
        <w:snapToGrid w:val="0"/>
        <w:spacing w:line="380" w:lineRule="atLeast"/>
        <w:ind w:firstLine="420" w:firstLineChars="200"/>
        <w:rPr>
          <w:rFonts w:ascii="宋体" w:hAnsi="宋体"/>
          <w:szCs w:val="21"/>
          <w:highlight w:val="none"/>
        </w:rPr>
      </w:pPr>
      <w:r>
        <w:rPr>
          <w:rFonts w:ascii="宋体" w:hAnsi="宋体"/>
          <w:szCs w:val="21"/>
          <w:highlight w:val="none"/>
        </w:rPr>
        <w:t>本</w:t>
      </w:r>
      <w:r>
        <w:rPr>
          <w:rFonts w:hint="eastAsia" w:ascii="宋体" w:hAnsi="宋体"/>
          <w:szCs w:val="21"/>
          <w:highlight w:val="none"/>
        </w:rPr>
        <w:t>理财</w:t>
      </w:r>
      <w:r>
        <w:rPr>
          <w:rFonts w:ascii="宋体" w:hAnsi="宋体"/>
          <w:szCs w:val="21"/>
          <w:highlight w:val="none"/>
        </w:rPr>
        <w:t>产品利用定性分析和定量分析方法，通过对短期金融工具的积极投资，在有效控制投资风险和保持高流动性的基础上，力争获得</w:t>
      </w:r>
      <w:r>
        <w:rPr>
          <w:rFonts w:hint="eastAsia" w:ascii="宋体" w:hAnsi="宋体"/>
          <w:szCs w:val="21"/>
          <w:highlight w:val="none"/>
        </w:rPr>
        <w:t>较好</w:t>
      </w:r>
      <w:r>
        <w:rPr>
          <w:rFonts w:ascii="宋体" w:hAnsi="宋体"/>
          <w:szCs w:val="21"/>
          <w:highlight w:val="none"/>
        </w:rPr>
        <w:t>的投资回报。</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1</w:t>
      </w:r>
      <w:r>
        <w:rPr>
          <w:rFonts w:ascii="宋体" w:hAnsi="宋体"/>
          <w:szCs w:val="21"/>
          <w:highlight w:val="none"/>
        </w:rPr>
        <w:t>.资产配置策略</w:t>
      </w:r>
    </w:p>
    <w:p>
      <w:pPr>
        <w:adjustRightInd w:val="0"/>
        <w:snapToGrid w:val="0"/>
        <w:spacing w:line="380" w:lineRule="atLeast"/>
        <w:ind w:firstLine="420" w:firstLineChars="200"/>
        <w:rPr>
          <w:rFonts w:ascii="宋体" w:hAnsi="宋体"/>
          <w:szCs w:val="21"/>
          <w:highlight w:val="none"/>
        </w:rPr>
      </w:pPr>
      <w:r>
        <w:rPr>
          <w:rFonts w:ascii="宋体" w:hAnsi="宋体"/>
          <w:szCs w:val="21"/>
          <w:highlight w:val="none"/>
        </w:rPr>
        <w:t>管理人根据市场情况和可投资品种的容量，在严谨深入的研究分析基础上，综合考量市场资金面走向、存款银行的信用资质、信用债券的信用评级以及各类资产的收益率水平、流动性特征等，确定各类资产的配置比例。</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2</w:t>
      </w:r>
      <w:r>
        <w:rPr>
          <w:rFonts w:ascii="宋体" w:hAnsi="宋体"/>
          <w:szCs w:val="21"/>
          <w:highlight w:val="none"/>
        </w:rPr>
        <w:t>.杠杆投资策略</w:t>
      </w:r>
    </w:p>
    <w:p>
      <w:pPr>
        <w:adjustRightInd w:val="0"/>
        <w:snapToGrid w:val="0"/>
        <w:spacing w:line="380" w:lineRule="atLeast"/>
        <w:ind w:firstLine="420" w:firstLineChars="200"/>
        <w:rPr>
          <w:rFonts w:ascii="宋体" w:hAnsi="宋体"/>
          <w:szCs w:val="21"/>
          <w:highlight w:val="none"/>
        </w:rPr>
      </w:pPr>
      <w:r>
        <w:rPr>
          <w:rFonts w:ascii="宋体" w:hAnsi="宋体"/>
          <w:szCs w:val="21"/>
          <w:highlight w:val="none"/>
        </w:rPr>
        <w:t>本理财产品将对回购利率与短期债券收益率、存款利率进行比较，并在对资金面进行综合分析的基础上，判断利差套利空间，并确定杠杆操作策略。</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3</w:t>
      </w:r>
      <w:r>
        <w:rPr>
          <w:rFonts w:ascii="宋体" w:hAnsi="宋体"/>
          <w:szCs w:val="21"/>
          <w:highlight w:val="none"/>
        </w:rPr>
        <w:t>.银行存款及同业存单投资策略</w:t>
      </w:r>
    </w:p>
    <w:p>
      <w:pPr>
        <w:adjustRightInd w:val="0"/>
        <w:snapToGrid w:val="0"/>
        <w:spacing w:line="380" w:lineRule="atLeast"/>
        <w:ind w:firstLine="420" w:firstLineChars="200"/>
        <w:rPr>
          <w:rFonts w:ascii="宋体" w:hAnsi="宋体"/>
          <w:szCs w:val="21"/>
          <w:highlight w:val="none"/>
        </w:rPr>
      </w:pPr>
      <w:r>
        <w:rPr>
          <w:rFonts w:ascii="宋体" w:hAnsi="宋体"/>
          <w:szCs w:val="21"/>
          <w:highlight w:val="none"/>
        </w:rPr>
        <w:t>本理财产品在向交易对手银行进行询价的基础上，选取利率报价较高的银行进行存款投资，在投资过程中基于对交易对手信用风险的评估，选择交易对手。</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4</w:t>
      </w:r>
      <w:r>
        <w:rPr>
          <w:rFonts w:ascii="宋体" w:hAnsi="宋体"/>
          <w:szCs w:val="21"/>
          <w:highlight w:val="none"/>
        </w:rPr>
        <w:t>.债券回购投资策略</w:t>
      </w:r>
    </w:p>
    <w:p>
      <w:pPr>
        <w:adjustRightInd w:val="0"/>
        <w:snapToGrid w:val="0"/>
        <w:spacing w:line="380" w:lineRule="atLeast"/>
        <w:ind w:firstLine="420" w:firstLineChars="200"/>
        <w:rPr>
          <w:rFonts w:ascii="宋体" w:hAnsi="宋体"/>
          <w:szCs w:val="21"/>
          <w:highlight w:val="none"/>
        </w:rPr>
      </w:pPr>
      <w:r>
        <w:rPr>
          <w:rFonts w:ascii="宋体" w:hAnsi="宋体"/>
          <w:szCs w:val="21"/>
          <w:highlight w:val="none"/>
        </w:rPr>
        <w:t>本理财产品基于对资金面走势的判断，选择回购品种和期限。若资产配置中有逆回购，则在判断资金面趋于宽松的情况下，优先进行相对较长期限逆回购配置；反之，则进行相对较短期限逆回购操作。在组合进行杠杆操作时，根据资金面的松紧，决定正回购的操作期限。</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5</w:t>
      </w:r>
      <w:r>
        <w:rPr>
          <w:rFonts w:ascii="宋体" w:hAnsi="宋体"/>
          <w:szCs w:val="21"/>
          <w:highlight w:val="none"/>
        </w:rPr>
        <w:t>.利率品种的投资策略</w:t>
      </w:r>
    </w:p>
    <w:p>
      <w:pPr>
        <w:adjustRightInd w:val="0"/>
        <w:snapToGrid w:val="0"/>
        <w:spacing w:line="380" w:lineRule="atLeast"/>
        <w:ind w:firstLine="420" w:firstLineChars="200"/>
        <w:rPr>
          <w:rFonts w:ascii="宋体" w:hAnsi="宋体"/>
          <w:szCs w:val="21"/>
          <w:highlight w:val="none"/>
        </w:rPr>
      </w:pPr>
      <w:r>
        <w:rPr>
          <w:rFonts w:ascii="宋体" w:hAnsi="宋体"/>
          <w:szCs w:val="21"/>
          <w:highlight w:val="none"/>
        </w:rPr>
        <w:t>本理财产品对国债、央行票据等利率品种的投资，是在对国内、国外经济趋势进行分析和预测基础上，运用数量方法，对利率期限结构变化趋势和债券市场供求关系变化进行分析和预测，深入分析利率品种的收益和风险，并据此调整债券组合的平均久期。在确定组合平均久期后，本理财产品对债券的期限结构进行分析，运用统计和数量分析技术，选择合适的期限结构配置策略，在合理控制风险的前提下，综合考虑组合的流动性，决定投资品种。</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6</w:t>
      </w:r>
      <w:r>
        <w:rPr>
          <w:rFonts w:ascii="宋体" w:hAnsi="宋体"/>
          <w:szCs w:val="21"/>
          <w:highlight w:val="none"/>
        </w:rPr>
        <w:t>.信用品种的投资策略</w:t>
      </w:r>
    </w:p>
    <w:p>
      <w:pPr>
        <w:adjustRightInd w:val="0"/>
        <w:snapToGrid w:val="0"/>
        <w:spacing w:line="380" w:lineRule="atLeast"/>
        <w:ind w:firstLine="420" w:firstLineChars="200"/>
        <w:rPr>
          <w:rFonts w:ascii="宋体" w:hAnsi="宋体"/>
          <w:szCs w:val="21"/>
          <w:highlight w:val="none"/>
        </w:rPr>
      </w:pPr>
      <w:r>
        <w:rPr>
          <w:rFonts w:ascii="宋体" w:hAnsi="宋体"/>
          <w:szCs w:val="21"/>
          <w:highlight w:val="none"/>
        </w:rPr>
        <w:t>管理人对市场公开发行的短期融资券、中期票据、企业债和公司债等信用品种进行研究和筛选，结合本理财产品的投资与配置需要，通过分析比较到期收益率、剩余期限、流动性等特征，挑选适当的短期信用品种进行投资。</w:t>
      </w:r>
    </w:p>
    <w:p>
      <w:pPr>
        <w:adjustRightInd w:val="0"/>
        <w:snapToGrid w:val="0"/>
        <w:spacing w:line="380" w:lineRule="atLeast"/>
        <w:ind w:firstLine="422" w:firstLineChars="200"/>
        <w:rPr>
          <w:rFonts w:ascii="宋体" w:hAnsi="宋体"/>
          <w:b/>
          <w:szCs w:val="21"/>
          <w:highlight w:val="none"/>
        </w:rPr>
      </w:pPr>
      <w:r>
        <w:rPr>
          <w:rFonts w:hint="eastAsia" w:ascii="宋体" w:hAnsi="宋体"/>
          <w:b/>
          <w:kern w:val="0"/>
          <w:szCs w:val="21"/>
          <w:highlight w:val="none"/>
        </w:rPr>
        <w:t>若本理财产品所投资的资产在</w:t>
      </w:r>
      <w:r>
        <w:rPr>
          <w:rFonts w:hint="eastAsia" w:ascii="宋体" w:hAnsi="宋体"/>
          <w:b/>
          <w:szCs w:val="21"/>
          <w:highlight w:val="none"/>
        </w:rPr>
        <w:t>持有期间出现公开市场评级下降，不再符合投资标准，产品管理人会在评级报告发布之日起30个工作日内予以卖出。</w:t>
      </w:r>
    </w:p>
    <w:p>
      <w:pPr>
        <w:adjustRightInd w:val="0"/>
        <w:snapToGrid w:val="0"/>
        <w:spacing w:line="380" w:lineRule="atLeast"/>
        <w:ind w:firstLine="422" w:firstLineChars="200"/>
        <w:rPr>
          <w:rFonts w:ascii="宋体" w:hAnsi="宋体"/>
          <w:b/>
          <w:kern w:val="0"/>
          <w:szCs w:val="21"/>
          <w:highlight w:val="none"/>
        </w:rPr>
      </w:pPr>
      <w:r>
        <w:rPr>
          <w:rFonts w:hint="eastAsia" w:ascii="宋体" w:hAnsi="宋体"/>
          <w:b/>
          <w:kern w:val="0"/>
          <w:szCs w:val="21"/>
          <w:highlight w:val="none"/>
        </w:rPr>
        <w:t>若本理财产品投资了债权类资产或所投资的债权类资产</w:t>
      </w:r>
      <w:r>
        <w:rPr>
          <w:rFonts w:ascii="宋体" w:hAnsi="宋体"/>
          <w:b/>
          <w:kern w:val="0"/>
          <w:szCs w:val="21"/>
          <w:highlight w:val="none"/>
        </w:rPr>
        <w:t>风险状况发生</w:t>
      </w:r>
      <w:r>
        <w:rPr>
          <w:rFonts w:hint="eastAsia" w:ascii="宋体" w:hAnsi="宋体"/>
          <w:b/>
          <w:kern w:val="0"/>
          <w:szCs w:val="21"/>
          <w:highlight w:val="none"/>
        </w:rPr>
        <w:t>了</w:t>
      </w:r>
      <w:r>
        <w:rPr>
          <w:rFonts w:ascii="宋体" w:hAnsi="宋体"/>
          <w:b/>
          <w:kern w:val="0"/>
          <w:szCs w:val="21"/>
          <w:highlight w:val="none"/>
        </w:rPr>
        <w:t>实质性变化的</w:t>
      </w:r>
      <w:r>
        <w:rPr>
          <w:rFonts w:hint="eastAsia" w:ascii="宋体" w:hAnsi="宋体"/>
          <w:b/>
          <w:kern w:val="0"/>
          <w:szCs w:val="21"/>
          <w:highlight w:val="none"/>
        </w:rPr>
        <w:t>，产品管理人会在2个</w:t>
      </w:r>
      <w:r>
        <w:rPr>
          <w:rFonts w:ascii="宋体" w:hAnsi="宋体"/>
          <w:b/>
          <w:kern w:val="0"/>
          <w:szCs w:val="21"/>
          <w:highlight w:val="none"/>
        </w:rPr>
        <w:t>工作日内</w:t>
      </w:r>
      <w:r>
        <w:rPr>
          <w:rFonts w:hint="eastAsia" w:ascii="宋体" w:hAnsi="宋体"/>
          <w:b/>
          <w:kern w:val="0"/>
          <w:szCs w:val="21"/>
          <w:highlight w:val="none"/>
        </w:rPr>
        <w:t>通过</w:t>
      </w:r>
      <w:r>
        <w:rPr>
          <w:rFonts w:hint="eastAsia" w:ascii="宋体" w:hAnsi="宋体" w:cs="宋体"/>
          <w:b/>
          <w:szCs w:val="21"/>
          <w:highlight w:val="none"/>
          <w:lang w:bidi="ar"/>
        </w:rPr>
        <w:t>理财产品说明书中有关“信息披露</w:t>
      </w:r>
      <w:r>
        <w:rPr>
          <w:rFonts w:ascii="宋体" w:hAnsi="宋体" w:cs="宋体"/>
          <w:b/>
          <w:szCs w:val="21"/>
          <w:highlight w:val="none"/>
          <w:lang w:bidi="ar"/>
        </w:rPr>
        <w:t>”</w:t>
      </w:r>
      <w:r>
        <w:rPr>
          <w:rFonts w:hint="eastAsia" w:ascii="宋体" w:hAnsi="宋体" w:cs="宋体"/>
          <w:b/>
          <w:szCs w:val="21"/>
          <w:highlight w:val="none"/>
          <w:lang w:bidi="ar"/>
        </w:rPr>
        <w:t>的约定</w:t>
      </w:r>
      <w:r>
        <w:rPr>
          <w:rFonts w:hint="eastAsia" w:ascii="宋体" w:hAnsi="宋体"/>
          <w:b/>
          <w:kern w:val="0"/>
          <w:szCs w:val="21"/>
          <w:highlight w:val="none"/>
        </w:rPr>
        <w:t>向投资者</w:t>
      </w:r>
      <w:r>
        <w:rPr>
          <w:rFonts w:ascii="宋体" w:hAnsi="宋体"/>
          <w:b/>
          <w:kern w:val="0"/>
          <w:szCs w:val="21"/>
          <w:highlight w:val="none"/>
        </w:rPr>
        <w:t>披露。</w:t>
      </w:r>
    </w:p>
    <w:p>
      <w:pPr>
        <w:adjustRightInd w:val="0"/>
        <w:snapToGrid w:val="0"/>
        <w:spacing w:line="520" w:lineRule="exact"/>
        <w:ind w:firstLine="413" w:firstLineChars="196"/>
        <w:rPr>
          <w:rFonts w:ascii="宋体" w:hAnsi="宋体"/>
          <w:b/>
          <w:bCs/>
          <w:szCs w:val="21"/>
          <w:highlight w:val="none"/>
        </w:rPr>
      </w:pPr>
      <w:r>
        <w:rPr>
          <w:rFonts w:hint="eastAsia" w:ascii="宋体" w:hAnsi="宋体"/>
          <w:b/>
          <w:szCs w:val="21"/>
          <w:highlight w:val="none"/>
        </w:rPr>
        <w:t>（五）</w:t>
      </w:r>
      <w:r>
        <w:rPr>
          <w:rFonts w:hint="eastAsia" w:ascii="宋体" w:hAnsi="宋体"/>
          <w:b/>
          <w:bCs/>
          <w:szCs w:val="21"/>
          <w:highlight w:val="none"/>
        </w:rPr>
        <w:t>投资限制</w:t>
      </w:r>
    </w:p>
    <w:p>
      <w:pPr>
        <w:adjustRightInd w:val="0"/>
        <w:snapToGrid w:val="0"/>
        <w:spacing w:line="520" w:lineRule="exact"/>
        <w:ind w:firstLine="413" w:firstLineChars="196"/>
        <w:rPr>
          <w:rFonts w:ascii="宋体" w:hAnsi="宋体"/>
          <w:b/>
          <w:bCs/>
          <w:szCs w:val="21"/>
          <w:highlight w:val="none"/>
        </w:rPr>
      </w:pPr>
      <w:r>
        <w:rPr>
          <w:rFonts w:hint="eastAsia" w:ascii="宋体" w:hAnsi="宋体"/>
          <w:b/>
          <w:bCs/>
          <w:szCs w:val="21"/>
          <w:highlight w:val="none"/>
        </w:rPr>
        <w:t>1</w:t>
      </w:r>
      <w:r>
        <w:rPr>
          <w:rFonts w:ascii="宋体" w:hAnsi="宋体"/>
          <w:b/>
          <w:bCs/>
          <w:szCs w:val="21"/>
          <w:highlight w:val="none"/>
        </w:rPr>
        <w:t>.</w:t>
      </w:r>
      <w:r>
        <w:rPr>
          <w:rFonts w:hint="eastAsia" w:ascii="宋体" w:hAnsi="宋体"/>
          <w:b/>
          <w:bCs/>
          <w:szCs w:val="21"/>
          <w:highlight w:val="none"/>
        </w:rPr>
        <w:t>投资集中度要求</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（1）本理财产品投资于同一机构发行的债券及其作为原始权益人的资产支持证券的比例合计不得超过该产品资产净值的10%，投资于国债、中央银行票据、政策性金融债券的除外；</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2）本理财产品投资于所有主体信用评级低于AAA的机构发行的金融工具的比例合计不得超过该产品资产净值的10%，其中单一机构发行的金融工具的比例合计不得超过该产品资产净值的2%；本款所称金融工具包括债券、银行存款、同业存单、相关机构作为原始权益人的资产支持证券及</w:t>
      </w:r>
      <w:r>
        <w:rPr>
          <w:rFonts w:hint="eastAsia" w:ascii="宋体" w:hAnsi="宋体"/>
          <w:szCs w:val="21"/>
          <w:highlight w:val="none"/>
          <w:lang w:eastAsia="zh-CN"/>
        </w:rPr>
        <w:t>金融监督管理部门</w:t>
      </w:r>
      <w:r>
        <w:rPr>
          <w:rFonts w:hint="eastAsia" w:ascii="宋体" w:hAnsi="宋体"/>
          <w:szCs w:val="21"/>
          <w:highlight w:val="none"/>
        </w:rPr>
        <w:t>认可的其他金融工具；</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3）本理财产品投资于有固定期限银行存款的比例合计不得超过该产品资产净值的30%，投资于有存款期限，根据协议可提前支取的银行存款除外；每只现金管理类产品投资于主体信用评级为AAA的同一商业银行的银行存款、同业存单占该产品资产净值的比例合计不得超过20%；</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（4）全部</w:t>
      </w:r>
      <w:r>
        <w:rPr>
          <w:rFonts w:hint="eastAsia"/>
          <w:color w:val="333333"/>
          <w:highlight w:val="none"/>
          <w:shd w:val="clear" w:color="auto" w:fill="FFFFFF"/>
        </w:rPr>
        <w:t>现金管理类</w:t>
      </w:r>
      <w:r>
        <w:rPr>
          <w:rFonts w:hint="eastAsia" w:ascii="宋体" w:hAnsi="宋体"/>
          <w:szCs w:val="21"/>
          <w:highlight w:val="none"/>
        </w:rPr>
        <w:t>理财产品投资于同一商业银行的存款、同业存单和债券，不得超过该商业银行最近一个季度末净资产的10%；</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（5）本理财产品拟投资于主体信用评级低于AA+的商业银行的银行存款与同业存单的，应当经恒丰理财董事会审议批准，相关交易应当事先告知产品托管人，并作为重大事项履行信息披露程序。</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非因主观因素导致突破前款各项比例限制的，产品管理人应当在10个交易日内调整至符合要求，</w:t>
      </w:r>
      <w:r>
        <w:rPr>
          <w:rFonts w:hint="eastAsia" w:ascii="宋体" w:hAnsi="宋体"/>
          <w:szCs w:val="21"/>
          <w:highlight w:val="none"/>
          <w:lang w:eastAsia="zh-CN"/>
        </w:rPr>
        <w:t>金融监督管理部门</w:t>
      </w:r>
      <w:r>
        <w:rPr>
          <w:rFonts w:hint="eastAsia" w:ascii="宋体" w:hAnsi="宋体"/>
          <w:szCs w:val="21"/>
          <w:highlight w:val="none"/>
        </w:rPr>
        <w:t>规定的特殊情形除外。</w:t>
      </w:r>
    </w:p>
    <w:p>
      <w:pPr>
        <w:adjustRightInd w:val="0"/>
        <w:snapToGrid w:val="0"/>
        <w:spacing w:line="520" w:lineRule="exact"/>
        <w:ind w:firstLine="413" w:firstLineChars="196"/>
        <w:rPr>
          <w:rFonts w:ascii="宋体" w:hAnsi="宋体"/>
          <w:b/>
          <w:szCs w:val="21"/>
          <w:highlight w:val="none"/>
        </w:rPr>
      </w:pPr>
      <w:r>
        <w:rPr>
          <w:rFonts w:hint="eastAsia" w:ascii="宋体" w:hAnsi="宋体"/>
          <w:b/>
          <w:szCs w:val="21"/>
          <w:highlight w:val="none"/>
        </w:rPr>
        <w:t>2</w:t>
      </w:r>
      <w:r>
        <w:rPr>
          <w:rFonts w:ascii="宋体" w:hAnsi="宋体"/>
          <w:b/>
          <w:szCs w:val="21"/>
          <w:highlight w:val="none"/>
        </w:rPr>
        <w:t>.</w:t>
      </w:r>
      <w:r>
        <w:rPr>
          <w:rFonts w:hint="eastAsia" w:ascii="宋体" w:hAnsi="宋体"/>
          <w:b/>
          <w:bCs/>
          <w:szCs w:val="21"/>
          <w:highlight w:val="none"/>
        </w:rPr>
        <w:t>流动性和杠杆管控要求</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本理财产品应当确保持有足够的具有良好流动性的资产，其投资组合应当符合以下要求：</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（1）本理财产品持有不低于该产品资产净值5%的现金、国债、中央银行票据、政策性金融债券；</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（2）本理财产品持有不低于该产品资产净值10%的现金、国债、中央银行票据、政策性金融债券以及五个交易日内到期的其他金融工具；</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3）本理财产品投资到期日在10个交易日以上的债券买入返售、银行定期存款（含协议约定有条件提前支取的银行存款），以及资产支持证券、因发行人债务违约无法进行转让或者交易的债券等由于法律法规、合同或者操作障碍等原因无法以合理价格予以变现的流动性受限资产，合计不得超过该产品资产净值的10%；</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（4）本理财产品的杠杆水平不得超过120%，发生巨额赎回、连续3个交易日累计赎回20%以上或者连续5个交易日累计赎回30%以上的情形除外。</w:t>
      </w:r>
    </w:p>
    <w:p>
      <w:pPr>
        <w:adjustRightInd w:val="0"/>
        <w:snapToGrid w:val="0"/>
        <w:spacing w:line="380" w:lineRule="atLeast"/>
        <w:ind w:firstLine="422" w:firstLineChars="200"/>
        <w:rPr>
          <w:rFonts w:ascii="宋体" w:hAnsi="宋体"/>
          <w:b/>
          <w:szCs w:val="21"/>
          <w:highlight w:val="none"/>
        </w:rPr>
      </w:pPr>
      <w:r>
        <w:rPr>
          <w:rFonts w:hint="eastAsia" w:ascii="宋体" w:hAnsi="宋体"/>
          <w:b/>
          <w:szCs w:val="21"/>
          <w:highlight w:val="none"/>
        </w:rPr>
        <w:t>非因主观因素导致突破前款第（2）、（4）项比例限制的，产品管理人应当在10个交易日内调整至符合要求；非因主观因素导致突破前款第（</w:t>
      </w:r>
      <w:r>
        <w:rPr>
          <w:rFonts w:ascii="宋体" w:hAnsi="宋体"/>
          <w:b/>
          <w:szCs w:val="21"/>
          <w:highlight w:val="none"/>
        </w:rPr>
        <w:t>3</w:t>
      </w:r>
      <w:r>
        <w:rPr>
          <w:rFonts w:hint="eastAsia" w:ascii="宋体" w:hAnsi="宋体"/>
          <w:b/>
          <w:szCs w:val="21"/>
          <w:highlight w:val="none"/>
        </w:rPr>
        <w:t>）项比例限制的，产品管理人不得主动新增流动性受限资产的投资。</w:t>
      </w:r>
    </w:p>
    <w:p>
      <w:pPr>
        <w:adjustRightInd w:val="0"/>
        <w:snapToGrid w:val="0"/>
        <w:spacing w:line="520" w:lineRule="exact"/>
        <w:ind w:firstLine="413" w:firstLineChars="196"/>
        <w:rPr>
          <w:rFonts w:ascii="宋体" w:hAnsi="宋体"/>
          <w:b/>
          <w:szCs w:val="21"/>
          <w:highlight w:val="none"/>
        </w:rPr>
      </w:pPr>
      <w:r>
        <w:rPr>
          <w:rFonts w:hint="eastAsia" w:ascii="宋体" w:hAnsi="宋体"/>
          <w:b/>
          <w:szCs w:val="21"/>
          <w:highlight w:val="none"/>
        </w:rPr>
        <w:t>3</w:t>
      </w:r>
      <w:r>
        <w:rPr>
          <w:rFonts w:ascii="宋体" w:hAnsi="宋体"/>
          <w:b/>
          <w:szCs w:val="21"/>
          <w:highlight w:val="none"/>
        </w:rPr>
        <w:t>.</w:t>
      </w:r>
      <w:r>
        <w:rPr>
          <w:rFonts w:hint="eastAsia" w:ascii="宋体" w:hAnsi="宋体"/>
          <w:b/>
          <w:bCs/>
          <w:szCs w:val="21"/>
          <w:highlight w:val="none"/>
        </w:rPr>
        <w:t>投资组合久期管理要求</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（1）本理财产品投资组合的平均剩余期限不得超过120天，平均剩余存续期限不得超过240天。</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投资组合平均剩余期限的计算公式为：</w:t>
      </w:r>
    </w:p>
    <w:p>
      <w:pPr>
        <w:pStyle w:val="2"/>
        <w:rPr>
          <w:highlight w:val="none"/>
        </w:rPr>
      </w:pPr>
      <w:r>
        <w:rPr>
          <w:szCs w:val="24"/>
          <w:highlight w:val="none"/>
        </w:rPr>
        <w:object>
          <v:shape id="_x0000_i1025" o:spt="75" type="#_x0000_t75" style="height:26.25pt;width:437.95pt;" o:ole="t" filled="f" o:preferrelative="t" stroked="f" coordsize="21600,21600">
            <v:path/>
            <v:fill on="f" focussize="0,0"/>
            <v:stroke on="f"/>
            <v:imagedata r:id="rId6" o:title=""/>
            <o:lock v:ext="edit" aspectratio="t"/>
            <w10:wrap type="none"/>
            <w10:anchorlock/>
          </v:shape>
          <o:OLEObject Type="Embed" ProgID="Equation.3" ShapeID="_x0000_i1025" DrawAspect="Content" ObjectID="_1468075725" r:id="rId5">
            <o:LockedField>false</o:LockedField>
          </o:OLEObject>
        </w:objec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投资组合平均剩余存续期限的计算公式为：</w:t>
      </w:r>
    </w:p>
    <w:p>
      <w:pPr>
        <w:adjustRightInd w:val="0"/>
        <w:snapToGrid w:val="0"/>
        <w:spacing w:line="380" w:lineRule="atLeast"/>
        <w:ind w:firstLine="420" w:firstLineChars="200"/>
        <w:rPr>
          <w:rFonts w:ascii="宋体" w:hAnsi="宋体"/>
          <w:szCs w:val="21"/>
          <w:highlight w:val="none"/>
        </w:rPr>
      </w:pPr>
      <w:r>
        <w:rPr>
          <w:rFonts w:ascii="宋体" w:hAnsi="宋体"/>
          <w:szCs w:val="21"/>
          <w:highlight w:val="none"/>
        </w:rPr>
        <w:object>
          <v:shape id="_x0000_i1026" o:spt="75" type="#_x0000_t75" style="height:24pt;width:435.75pt;" o:ole="t" filled="f" o:preferrelative="t" stroked="f" coordsize="21600,21600">
            <v:path/>
            <v:fill on="f" focussize="0,0"/>
            <v:stroke on="f"/>
            <v:imagedata r:id="rId8" o:title=""/>
            <o:lock v:ext="edit" aspectratio="t"/>
            <w10:wrap type="none"/>
            <w10:anchorlock/>
          </v:shape>
          <o:OLEObject Type="Embed" ProgID="Equation.3" ShapeID="_x0000_i1026" DrawAspect="Content" ObjectID="_1468075726" r:id="rId7">
            <o:LockedField>false</o:LockedField>
          </o:OLEObject>
        </w:objec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（2）投资组合中债券的剩余期限和剩余存续期限是指计算日至债券到期日为止所剩余的天数，以下情况除外：</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1）允许投资的可变利率或者浮动利率债券的剩余期限以计算日至下一个利率调整日的实际剩余天数计算。</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2）允许投资的可变利率或者浮动利率债券的剩余存续期限以计算日至债券到期日的实际剩余天数计算。</w:t>
      </w:r>
    </w:p>
    <w:p>
      <w:pPr>
        <w:adjustRightInd w:val="0"/>
        <w:snapToGrid w:val="0"/>
        <w:spacing w:line="380" w:lineRule="atLeast"/>
        <w:ind w:firstLine="422" w:firstLineChars="200"/>
        <w:rPr>
          <w:rFonts w:ascii="宋体" w:hAnsi="宋体"/>
          <w:b/>
          <w:bCs/>
          <w:szCs w:val="21"/>
          <w:highlight w:val="none"/>
        </w:rPr>
      </w:pPr>
      <w:r>
        <w:rPr>
          <w:rFonts w:ascii="宋体" w:hAnsi="宋体"/>
          <w:b/>
          <w:bCs/>
          <w:szCs w:val="21"/>
          <w:highlight w:val="none"/>
        </w:rPr>
        <w:t>4.</w:t>
      </w:r>
      <w:r>
        <w:rPr>
          <w:rFonts w:hint="eastAsia" w:ascii="宋体" w:hAnsi="宋体"/>
          <w:b/>
          <w:bCs/>
          <w:szCs w:val="21"/>
          <w:highlight w:val="none"/>
        </w:rPr>
        <w:t>投资者集中度监控与管理</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1）当前10名投资者的持有份额合计超过现金管理类产品总份额的50%时，投资组合的平均剩余期限不得超过60天，平均剩余存续期限不得超过120天，投资组合中现金、国债、中央银行票据、政策性金融债券以及5个交易日内到期的其他金融工具占该产品资产净值的比例合计不得低于30%；</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2）当前10名投资者的持有份额合计超过现金管理类产品总份额的20%时，投资组合的平均剩余期限不得超过90天，平均剩余存续期限不得超过180天，投资组合中现金、国债、中央银行票据、政策性金融债券以及5个交易日内到期的其他金融工具占该产品资产净值的比例合计不得低于20%。</w:t>
      </w:r>
    </w:p>
    <w:p>
      <w:pPr>
        <w:spacing w:line="360" w:lineRule="auto"/>
        <w:ind w:firstLine="422" w:firstLineChars="200"/>
        <w:outlineLvl w:val="1"/>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八、理财产品估值</w:t>
      </w:r>
    </w:p>
    <w:p>
      <w:pPr>
        <w:adjustRightInd w:val="0"/>
        <w:snapToGrid w:val="0"/>
        <w:spacing w:line="380" w:lineRule="atLeast"/>
        <w:ind w:firstLine="422" w:firstLineChars="200"/>
        <w:rPr>
          <w:rFonts w:ascii="宋体" w:hAnsi="宋体"/>
          <w:b/>
          <w:bCs/>
          <w:szCs w:val="21"/>
          <w:highlight w:val="none"/>
        </w:rPr>
      </w:pPr>
      <w:r>
        <w:rPr>
          <w:rFonts w:hint="eastAsia" w:ascii="宋体" w:hAnsi="宋体"/>
          <w:b/>
          <w:bCs/>
          <w:szCs w:val="21"/>
          <w:highlight w:val="none"/>
        </w:rPr>
        <w:t>（一）估值方法</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本理财产品净值随投资收益变化，本理财产品存续期内，产品管理人于每个</w:t>
      </w:r>
      <w:r>
        <w:rPr>
          <w:rFonts w:hint="default" w:ascii="宋体" w:hAnsi="宋体"/>
          <w:szCs w:val="21"/>
          <w:highlight w:val="none"/>
          <w:lang w:val="en-US"/>
        </w:rPr>
        <w:t>自然日</w:t>
      </w:r>
      <w:r>
        <w:rPr>
          <w:rFonts w:hint="eastAsia" w:ascii="宋体" w:hAnsi="宋体"/>
          <w:szCs w:val="21"/>
          <w:highlight w:val="none"/>
        </w:rPr>
        <w:t>计算理财产品每万份收益、七日年化收益率，并于下</w:t>
      </w:r>
      <w:r>
        <w:rPr>
          <w:rFonts w:ascii="宋体" w:hAnsi="宋体"/>
          <w:szCs w:val="21"/>
          <w:highlight w:val="none"/>
        </w:rPr>
        <w:t>1个工作日内通过</w:t>
      </w:r>
      <w:r>
        <w:rPr>
          <w:rFonts w:hint="eastAsia" w:ascii="宋体" w:hAnsi="宋体"/>
          <w:szCs w:val="21"/>
          <w:highlight w:val="none"/>
        </w:rPr>
        <w:t>“信息披露”约定的渠道发布</w:t>
      </w:r>
      <w:r>
        <w:rPr>
          <w:rFonts w:ascii="宋体" w:hAnsi="宋体"/>
          <w:szCs w:val="21"/>
          <w:highlight w:val="none"/>
        </w:rPr>
        <w:t>。</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1.估值对象</w:t>
      </w:r>
    </w:p>
    <w:p>
      <w:pPr>
        <w:adjustRightInd w:val="0"/>
        <w:snapToGrid w:val="0"/>
        <w:spacing w:line="380" w:lineRule="atLeast"/>
        <w:ind w:firstLine="420" w:firstLineChars="200"/>
        <w:rPr>
          <w:rFonts w:ascii="宋体" w:hAnsi="宋体"/>
          <w:szCs w:val="21"/>
          <w:highlight w:val="none"/>
        </w:rPr>
      </w:pPr>
      <w:r>
        <w:rPr>
          <w:rFonts w:hint="eastAsia" w:ascii="宋体" w:hAnsi="宋体" w:cs="宋体"/>
          <w:color w:val="000000"/>
          <w:szCs w:val="21"/>
          <w:highlight w:val="none"/>
          <w:lang w:bidi="ar"/>
        </w:rPr>
        <w:t>本理财产品的估值对象为本理财产品所拥有的全部资产及负债</w:t>
      </w:r>
      <w:r>
        <w:rPr>
          <w:rFonts w:hint="eastAsia" w:ascii="宋体" w:hAnsi="宋体"/>
          <w:szCs w:val="21"/>
          <w:highlight w:val="none"/>
        </w:rPr>
        <w:t>。</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2.估值方法</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（1</w:t>
      </w:r>
      <w:r>
        <w:rPr>
          <w:rFonts w:ascii="宋体" w:hAnsi="宋体"/>
          <w:szCs w:val="21"/>
          <w:highlight w:val="none"/>
        </w:rPr>
        <w:t>）</w:t>
      </w:r>
      <w:r>
        <w:rPr>
          <w:rFonts w:hint="eastAsia" w:ascii="宋体" w:hAnsi="宋体"/>
          <w:szCs w:val="21"/>
          <w:highlight w:val="none"/>
        </w:rPr>
        <w:t>本理财产品估值采用摊余成本法，即估值对象以买入成本列示，按实际利率并考虑其买入时的溢价与折价，在其剩余存续期内摊销，每日计提损益。本理财产品不采用市场利率和上市交易的债券和票据的市价计算理财资产净值。</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（2）债券回购以协议成本列示，按协议商定利率在实际持有期内逐日计提利息。</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（3）银行存款以本金列示，按银行实际协议利率逐日计提利息。</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（4）若理财产品存续期间持有其他投资品种，以产品管理人和产品托管人共同认可的方法估值。</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3</w:t>
      </w:r>
      <w:r>
        <w:rPr>
          <w:rFonts w:ascii="宋体" w:hAnsi="宋体"/>
          <w:szCs w:val="21"/>
          <w:highlight w:val="none"/>
        </w:rPr>
        <w:t>.</w:t>
      </w:r>
      <w:r>
        <w:rPr>
          <w:rFonts w:hint="eastAsia" w:ascii="宋体" w:hAnsi="宋体"/>
          <w:szCs w:val="21"/>
          <w:highlight w:val="none"/>
        </w:rPr>
        <w:t>本理财产品采用摊余成本法进行核算，将采用影子定价的风险控制手段，对摊余成本法计算的资产净值的公允性进行评估。</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由于按摊余成本法计价可能会出现被计价对象的其他可参考公允价值指标和摊余成本之间的偏离，为消除或减少因理财产品资产净值的背离导致理财产品份额投资者权益的稀释或其他不公平的结果。在实际操作中，产品管理人与产品托管人将采用估值技术，对理财产品持有的估值对象进行重新评估，即“影子定价”。</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当影子定价确定的资产净值与摊余成本法计算的资产净值正偏离度绝对值达到0.5%时，产品管理人将暂停接受认购并在5个交易日内将正偏离度绝对值调整到0.5%以内。当负偏离度绝对值达到0.25%时，产品管理人将在5个交易日内将负偏离度绝对值调整到0.25%以内。当负偏离度绝对值达到0.5%时，产品管理人将采取相应措施，将负偏离度绝对值控制在0.5%以内。当负偏离度绝对值连续两个交易日超过0.5%时，产品管理人将采用公允价值估值方法对持有投资组合的账面价值进行调整，或者采取暂停接受所有赎回申请并终止产品合同进行财产清算等措施。</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 xml:space="preserve">影子定价与摊余成本法确定的现金管理类产品资产净值的偏离度＝ </w:t>
      </w:r>
      <w:r>
        <w:rPr>
          <w:rFonts w:ascii="宋体" w:hAnsi="宋体"/>
          <w:szCs w:val="21"/>
          <w:highlight w:val="none"/>
        </w:rPr>
        <w:drawing>
          <wp:inline distT="0" distB="0" distL="114300" distR="114300">
            <wp:extent cx="800100" cy="333375"/>
            <wp:effectExtent l="0" t="0" r="0" b="8255"/>
            <wp:docPr id="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1"/>
                    <pic:cNvPicPr>
                      <a:picLocks noChangeAspect="1" noChangeArrowheads="1"/>
                    </pic:cNvPicPr>
                  </pic:nvPicPr>
                  <pic:blipFill>
                    <a:blip r:embed="rId9" cstate="print"/>
                    <a:srcRect/>
                    <a:stretch>
                      <a:fillRect/>
                    </a:stretch>
                  </pic:blipFill>
                  <pic:spPr>
                    <a:xfrm>
                      <a:off x="0" y="0"/>
                      <a:ext cx="800100" cy="333375"/>
                    </a:xfrm>
                    <a:prstGeom prst="rect">
                      <a:avLst/>
                    </a:prstGeom>
                    <a:noFill/>
                    <a:ln w="9525">
                      <a:noFill/>
                      <a:miter lim="800000"/>
                      <a:headEnd/>
                      <a:tailEnd/>
                    </a:ln>
                  </pic:spPr>
                </pic:pic>
              </a:graphicData>
            </a:graphic>
          </wp:inline>
        </w:drawing>
      </w:r>
      <w:r>
        <w:rPr>
          <w:rFonts w:hint="eastAsia" w:ascii="宋体" w:hAnsi="宋体"/>
          <w:szCs w:val="21"/>
          <w:highlight w:val="none"/>
        </w:rPr>
        <w:t xml:space="preserve">      </w:t>
      </w:r>
      <w:r>
        <w:rPr>
          <w:rFonts w:ascii="宋体" w:hAnsi="宋体"/>
          <w:szCs w:val="21"/>
          <w:highlight w:val="none"/>
        </w:rPr>
        <w:t xml:space="preserve">    </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其中，NAVs为影子定价确定的现金管理类产品资产净值，NAVa为摊余成本法确定的现金管理类产品资产净值。</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4.</w:t>
      </w:r>
      <w:r>
        <w:rPr>
          <w:rFonts w:ascii="宋体" w:hAnsi="宋体"/>
          <w:szCs w:val="21"/>
          <w:highlight w:val="none"/>
        </w:rPr>
        <w:t>在任何情况下，如采用以上规定的方法对资产进行估值，均应被认为采用了适当的估值方法。如</w:t>
      </w:r>
      <w:r>
        <w:rPr>
          <w:rFonts w:hint="eastAsia" w:ascii="宋体" w:hAnsi="宋体"/>
          <w:szCs w:val="21"/>
          <w:highlight w:val="none"/>
        </w:rPr>
        <w:t>产品</w:t>
      </w:r>
      <w:r>
        <w:rPr>
          <w:rFonts w:ascii="宋体" w:hAnsi="宋体"/>
          <w:szCs w:val="21"/>
          <w:highlight w:val="none"/>
        </w:rPr>
        <w:t>管理人有证据表明按上述规定不能客观反映理财产品资产公允价值的，</w:t>
      </w:r>
      <w:r>
        <w:rPr>
          <w:rFonts w:hint="eastAsia" w:ascii="宋体" w:hAnsi="宋体"/>
          <w:szCs w:val="21"/>
          <w:highlight w:val="none"/>
        </w:rPr>
        <w:t>产品</w:t>
      </w:r>
      <w:r>
        <w:rPr>
          <w:rFonts w:ascii="宋体" w:hAnsi="宋体"/>
          <w:szCs w:val="21"/>
          <w:highlight w:val="none"/>
        </w:rPr>
        <w:t>管理人可根据具体情况，在综合考虑市场成交价、市场报价、流动性、收益率曲线等多种因素基础上，按最能反映理财产品资产公允价值的方法估值。</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5.</w:t>
      </w:r>
      <w:r>
        <w:rPr>
          <w:rFonts w:ascii="宋体" w:hAnsi="宋体"/>
          <w:szCs w:val="21"/>
          <w:highlight w:val="none"/>
        </w:rPr>
        <w:t>对于以上估值方法，相关法律法规以及监管部门有另行规定的，按照监管最新规定执行。如监管并无明确规定和要求的，由</w:t>
      </w:r>
      <w:r>
        <w:rPr>
          <w:rFonts w:hint="eastAsia" w:ascii="宋体" w:hAnsi="宋体"/>
          <w:szCs w:val="21"/>
          <w:highlight w:val="none"/>
        </w:rPr>
        <w:t>产品</w:t>
      </w:r>
      <w:r>
        <w:rPr>
          <w:rFonts w:ascii="宋体" w:hAnsi="宋体"/>
          <w:szCs w:val="21"/>
          <w:highlight w:val="none"/>
        </w:rPr>
        <w:t>管理人与</w:t>
      </w:r>
      <w:r>
        <w:rPr>
          <w:rFonts w:hint="eastAsia" w:ascii="宋体" w:hAnsi="宋体"/>
          <w:szCs w:val="21"/>
          <w:highlight w:val="none"/>
        </w:rPr>
        <w:t>产品</w:t>
      </w:r>
      <w:r>
        <w:rPr>
          <w:rFonts w:ascii="宋体" w:hAnsi="宋体"/>
          <w:szCs w:val="21"/>
          <w:highlight w:val="none"/>
        </w:rPr>
        <w:t>托管人协商确定计算方法。</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6.产品管理人</w:t>
      </w:r>
      <w:r>
        <w:rPr>
          <w:rFonts w:ascii="宋体" w:hAnsi="宋体"/>
          <w:szCs w:val="21"/>
          <w:highlight w:val="none"/>
        </w:rPr>
        <w:t>按以上估值方法进行估值时，所造成的误差不作为理财产品单位资产收益率错误处理。</w:t>
      </w:r>
    </w:p>
    <w:p>
      <w:pPr>
        <w:adjustRightInd w:val="0"/>
        <w:snapToGrid w:val="0"/>
        <w:spacing w:line="520" w:lineRule="exact"/>
        <w:ind w:firstLine="422" w:firstLineChars="200"/>
        <w:rPr>
          <w:rFonts w:ascii="宋体" w:hAnsi="宋体"/>
          <w:b/>
          <w:bCs/>
          <w:szCs w:val="21"/>
          <w:highlight w:val="none"/>
        </w:rPr>
      </w:pPr>
      <w:r>
        <w:rPr>
          <w:rFonts w:hint="eastAsia" w:ascii="宋体" w:hAnsi="宋体"/>
          <w:b/>
          <w:bCs/>
          <w:szCs w:val="21"/>
          <w:highlight w:val="none"/>
        </w:rPr>
        <w:t>（二）暂停估值的情形</w:t>
      </w:r>
    </w:p>
    <w:p>
      <w:pPr>
        <w:pStyle w:val="2"/>
        <w:snapToGrid w:val="0"/>
        <w:spacing w:line="380" w:lineRule="exact"/>
        <w:ind w:firstLine="420" w:firstLineChars="200"/>
        <w:rPr>
          <w:rFonts w:ascii="宋体" w:hAnsi="宋体" w:cs="宋体"/>
          <w:color w:val="000000"/>
          <w:sz w:val="21"/>
          <w:szCs w:val="21"/>
          <w:highlight w:val="none"/>
          <w:shd w:val="clear" w:color="auto" w:fill="FFFFFF"/>
          <w:lang w:bidi="ar"/>
        </w:rPr>
      </w:pPr>
      <w:r>
        <w:rPr>
          <w:rFonts w:hint="eastAsia" w:ascii="宋体" w:hAnsi="宋体" w:cs="宋体"/>
          <w:color w:val="000000"/>
          <w:sz w:val="21"/>
          <w:szCs w:val="21"/>
          <w:highlight w:val="none"/>
          <w:shd w:val="clear" w:color="auto" w:fill="FFFFFF"/>
          <w:lang w:bidi="ar"/>
        </w:rPr>
        <w:t>在发生下列情形之一的，产品管理人应暂停本产品估值，并采取延缓支付赎回款项或暂停接受理财产品认购、赎回申请等措施：</w:t>
      </w:r>
    </w:p>
    <w:p>
      <w:pPr>
        <w:pStyle w:val="2"/>
        <w:snapToGrid w:val="0"/>
        <w:spacing w:line="380" w:lineRule="exact"/>
        <w:ind w:firstLine="420" w:firstLineChars="200"/>
        <w:rPr>
          <w:rFonts w:ascii="宋体" w:hAnsi="宋体" w:cs="宋体"/>
          <w:color w:val="000000"/>
          <w:sz w:val="21"/>
          <w:szCs w:val="21"/>
          <w:highlight w:val="none"/>
          <w:shd w:val="clear" w:color="auto" w:fill="FFFFFF"/>
          <w:lang w:bidi="ar"/>
        </w:rPr>
      </w:pPr>
      <w:r>
        <w:rPr>
          <w:rFonts w:hint="eastAsia" w:ascii="宋体" w:hAnsi="宋体" w:cs="宋体"/>
          <w:color w:val="000000"/>
          <w:sz w:val="21"/>
          <w:szCs w:val="21"/>
          <w:highlight w:val="none"/>
          <w:shd w:val="clear" w:color="auto" w:fill="FFFFFF"/>
          <w:lang w:bidi="ar"/>
        </w:rPr>
        <w:t>1.理财产品投资所涉及的交易所遇法定节假日或其它原因暂停营业时；</w:t>
      </w:r>
    </w:p>
    <w:p>
      <w:pPr>
        <w:pStyle w:val="2"/>
        <w:snapToGrid w:val="0"/>
        <w:spacing w:line="380" w:lineRule="exact"/>
        <w:ind w:firstLine="420" w:firstLineChars="200"/>
        <w:rPr>
          <w:rFonts w:ascii="宋体" w:hAnsi="宋体" w:cs="宋体"/>
          <w:color w:val="000000"/>
          <w:sz w:val="21"/>
          <w:szCs w:val="21"/>
          <w:highlight w:val="none"/>
          <w:shd w:val="clear" w:color="auto" w:fill="FFFFFF"/>
          <w:lang w:bidi="ar"/>
        </w:rPr>
      </w:pPr>
      <w:r>
        <w:rPr>
          <w:rFonts w:hint="eastAsia" w:ascii="宋体" w:hAnsi="宋体" w:cs="宋体"/>
          <w:color w:val="000000"/>
          <w:sz w:val="21"/>
          <w:szCs w:val="21"/>
          <w:highlight w:val="none"/>
          <w:shd w:val="clear" w:color="auto" w:fill="FFFFFF"/>
          <w:lang w:bidi="ar"/>
        </w:rPr>
        <w:t>2</w:t>
      </w:r>
      <w:r>
        <w:rPr>
          <w:rFonts w:ascii="宋体" w:hAnsi="宋体" w:cs="宋体"/>
          <w:color w:val="000000"/>
          <w:sz w:val="21"/>
          <w:szCs w:val="21"/>
          <w:highlight w:val="none"/>
          <w:shd w:val="clear" w:color="auto" w:fill="FFFFFF"/>
          <w:lang w:bidi="ar"/>
        </w:rPr>
        <w:t>.</w:t>
      </w:r>
      <w:r>
        <w:rPr>
          <w:rFonts w:hint="eastAsia" w:ascii="宋体" w:hAnsi="宋体" w:cs="宋体"/>
          <w:color w:val="000000"/>
          <w:sz w:val="21"/>
          <w:szCs w:val="21"/>
          <w:highlight w:val="none"/>
          <w:shd w:val="clear" w:color="auto" w:fill="FFFFFF"/>
          <w:lang w:bidi="ar"/>
        </w:rPr>
        <w:t>因不可抗力或其他情形致使产品管理人、产品托管人无法准确评估理财产品资产价值时；</w:t>
      </w:r>
    </w:p>
    <w:p>
      <w:pPr>
        <w:pStyle w:val="2"/>
        <w:snapToGrid w:val="0"/>
        <w:spacing w:line="380" w:lineRule="exact"/>
        <w:ind w:firstLine="420" w:firstLineChars="200"/>
        <w:rPr>
          <w:rFonts w:ascii="宋体" w:hAnsi="宋体" w:cs="宋体"/>
          <w:color w:val="000000"/>
          <w:sz w:val="21"/>
          <w:szCs w:val="21"/>
          <w:highlight w:val="none"/>
          <w:shd w:val="clear" w:color="auto" w:fill="FFFFFF"/>
          <w:lang w:bidi="ar"/>
        </w:rPr>
      </w:pPr>
      <w:r>
        <w:rPr>
          <w:rFonts w:hint="eastAsia" w:ascii="宋体" w:hAnsi="宋体" w:cs="宋体"/>
          <w:color w:val="000000"/>
          <w:sz w:val="21"/>
          <w:szCs w:val="21"/>
          <w:highlight w:val="none"/>
          <w:shd w:val="clear" w:color="auto" w:fill="FFFFFF"/>
          <w:lang w:bidi="ar"/>
        </w:rPr>
        <w:t>3.占理财产品资产相当比例的投资品种的估值出现重大转变，而产品管理人为保障投资者的利益，已决定延迟估值；</w:t>
      </w:r>
    </w:p>
    <w:p>
      <w:pPr>
        <w:pStyle w:val="2"/>
        <w:snapToGrid w:val="0"/>
        <w:spacing w:line="380" w:lineRule="exact"/>
        <w:ind w:firstLine="420" w:firstLineChars="200"/>
        <w:rPr>
          <w:rFonts w:ascii="宋体" w:hAnsi="宋体" w:cs="宋体"/>
          <w:color w:val="000000"/>
          <w:sz w:val="21"/>
          <w:szCs w:val="21"/>
          <w:highlight w:val="none"/>
          <w:shd w:val="clear" w:color="auto" w:fill="FFFFFF"/>
          <w:lang w:bidi="ar"/>
        </w:rPr>
      </w:pPr>
      <w:r>
        <w:rPr>
          <w:rFonts w:hint="eastAsia" w:ascii="宋体" w:hAnsi="宋体" w:cs="宋体"/>
          <w:color w:val="000000"/>
          <w:sz w:val="21"/>
          <w:szCs w:val="21"/>
          <w:highlight w:val="none"/>
          <w:shd w:val="clear" w:color="auto" w:fill="FFFFFF"/>
          <w:lang w:bidi="ar"/>
        </w:rPr>
        <w:t>4.法律法规、</w:t>
      </w:r>
      <w:r>
        <w:rPr>
          <w:rFonts w:hint="eastAsia" w:ascii="宋体" w:hAnsi="宋体" w:cs="宋体"/>
          <w:color w:val="000000"/>
          <w:sz w:val="21"/>
          <w:szCs w:val="21"/>
          <w:highlight w:val="none"/>
          <w:shd w:val="clear" w:color="auto" w:fill="FFFFFF"/>
          <w:lang w:eastAsia="zh-CN" w:bidi="ar"/>
        </w:rPr>
        <w:t>金融监督管理部门</w:t>
      </w:r>
      <w:r>
        <w:rPr>
          <w:rFonts w:hint="eastAsia" w:ascii="宋体" w:hAnsi="宋体" w:cs="宋体"/>
          <w:color w:val="000000"/>
          <w:sz w:val="21"/>
          <w:szCs w:val="21"/>
          <w:highlight w:val="none"/>
          <w:shd w:val="clear" w:color="auto" w:fill="FFFFFF"/>
          <w:lang w:bidi="ar"/>
        </w:rPr>
        <w:t>和理财产品说明书认定的其它情形；</w:t>
      </w:r>
    </w:p>
    <w:p>
      <w:pPr>
        <w:pStyle w:val="2"/>
        <w:snapToGrid w:val="0"/>
        <w:spacing w:line="380" w:lineRule="exact"/>
        <w:ind w:firstLine="420" w:firstLineChars="200"/>
        <w:rPr>
          <w:rFonts w:ascii="宋体" w:hAnsi="宋体" w:cs="宋体"/>
          <w:color w:val="000000"/>
          <w:sz w:val="21"/>
          <w:szCs w:val="21"/>
          <w:highlight w:val="none"/>
          <w:shd w:val="clear" w:color="auto" w:fill="FFFFFF"/>
          <w:lang w:bidi="ar"/>
        </w:rPr>
      </w:pPr>
      <w:r>
        <w:rPr>
          <w:rFonts w:hint="eastAsia" w:ascii="宋体" w:hAnsi="宋体" w:cs="宋体"/>
          <w:color w:val="000000"/>
          <w:sz w:val="21"/>
          <w:szCs w:val="21"/>
          <w:highlight w:val="none"/>
          <w:shd w:val="clear" w:color="auto" w:fill="FFFFFF"/>
          <w:lang w:bidi="ar"/>
        </w:rPr>
        <w:t>估值条件恢复时，产品管理人必须按规定完成估值工作。</w:t>
      </w:r>
    </w:p>
    <w:p>
      <w:pPr>
        <w:pStyle w:val="2"/>
        <w:snapToGrid w:val="0"/>
        <w:spacing w:line="380" w:lineRule="exact"/>
        <w:ind w:firstLine="420" w:firstLineChars="200"/>
        <w:rPr>
          <w:rFonts w:ascii="宋体" w:hAnsi="宋体" w:cs="宋体"/>
          <w:color w:val="000000"/>
          <w:sz w:val="21"/>
          <w:szCs w:val="21"/>
          <w:highlight w:val="none"/>
          <w:shd w:val="clear" w:color="auto" w:fill="FFFFFF"/>
          <w:lang w:bidi="ar"/>
        </w:rPr>
      </w:pPr>
      <w:r>
        <w:rPr>
          <w:rFonts w:hint="eastAsia" w:ascii="宋体" w:hAnsi="宋体" w:cs="宋体"/>
          <w:color w:val="000000"/>
          <w:sz w:val="21"/>
          <w:szCs w:val="21"/>
          <w:highlight w:val="none"/>
          <w:shd w:val="clear" w:color="auto" w:fill="FFFFFF"/>
          <w:lang w:bidi="ar"/>
        </w:rPr>
        <w:t>如产品管理人决定暂停产品估值，并采取延缓支付赎回款项或暂停接受该产品申购、赎回申请等措施，将</w:t>
      </w:r>
      <w:bookmarkStart w:id="5" w:name="_Hlk113579809"/>
      <w:r>
        <w:rPr>
          <w:rFonts w:hint="eastAsia" w:ascii="宋体" w:hAnsi="宋体" w:cs="宋体"/>
          <w:color w:val="000000"/>
          <w:sz w:val="21"/>
          <w:szCs w:val="21"/>
          <w:highlight w:val="none"/>
          <w:shd w:val="clear" w:color="auto" w:fill="FFFFFF"/>
          <w:lang w:bidi="ar"/>
        </w:rPr>
        <w:t>于</w:t>
      </w:r>
      <w:r>
        <w:rPr>
          <w:rFonts w:ascii="宋体" w:hAnsi="宋体" w:cs="宋体"/>
          <w:color w:val="000000"/>
          <w:sz w:val="21"/>
          <w:szCs w:val="21"/>
          <w:highlight w:val="none"/>
          <w:shd w:val="clear" w:color="auto" w:fill="FFFFFF"/>
          <w:lang w:bidi="ar"/>
        </w:rPr>
        <w:t>3个交易日内通过理财产品说明书中有关“信息披露”的约定</w:t>
      </w:r>
      <w:bookmarkEnd w:id="5"/>
      <w:r>
        <w:rPr>
          <w:rFonts w:hint="eastAsia" w:ascii="宋体" w:hAnsi="宋体" w:cs="宋体"/>
          <w:color w:val="000000"/>
          <w:sz w:val="21"/>
          <w:szCs w:val="21"/>
          <w:highlight w:val="none"/>
          <w:shd w:val="clear" w:color="auto" w:fill="FFFFFF"/>
          <w:lang w:bidi="ar"/>
        </w:rPr>
        <w:t>进行公告。投资者根据产品管理人另行通知的开放日可重新进行申购、赎回申请。</w:t>
      </w:r>
    </w:p>
    <w:p>
      <w:pPr>
        <w:pStyle w:val="2"/>
        <w:snapToGrid w:val="0"/>
        <w:spacing w:line="380" w:lineRule="exact"/>
        <w:ind w:firstLine="422" w:firstLineChars="200"/>
        <w:rPr>
          <w:rFonts w:ascii="宋体" w:hAnsi="宋体" w:cs="宋体"/>
          <w:b/>
          <w:bCs/>
          <w:color w:val="000000"/>
          <w:sz w:val="21"/>
          <w:szCs w:val="21"/>
          <w:highlight w:val="none"/>
          <w:shd w:val="clear" w:color="auto" w:fill="FFFFFF"/>
          <w:lang w:bidi="ar"/>
        </w:rPr>
      </w:pPr>
      <w:r>
        <w:rPr>
          <w:rFonts w:hint="eastAsia" w:ascii="宋体" w:hAnsi="宋体" w:cs="宋体"/>
          <w:b/>
          <w:bCs/>
          <w:color w:val="000000"/>
          <w:sz w:val="21"/>
          <w:szCs w:val="21"/>
          <w:highlight w:val="none"/>
          <w:shd w:val="clear" w:color="auto" w:fill="FFFFFF"/>
          <w:lang w:bidi="ar"/>
        </w:rPr>
        <w:t>（三）估值错误的处理</w:t>
      </w:r>
    </w:p>
    <w:p>
      <w:pPr>
        <w:pStyle w:val="2"/>
        <w:snapToGrid w:val="0"/>
        <w:spacing w:line="380" w:lineRule="exact"/>
        <w:ind w:firstLine="420" w:firstLineChars="200"/>
        <w:rPr>
          <w:rFonts w:ascii="宋体" w:hAnsi="宋体" w:cs="宋体"/>
          <w:color w:val="000000"/>
          <w:sz w:val="21"/>
          <w:szCs w:val="21"/>
          <w:highlight w:val="none"/>
          <w:shd w:val="clear" w:color="auto" w:fill="FFFFFF"/>
          <w:lang w:bidi="ar"/>
        </w:rPr>
      </w:pPr>
      <w:r>
        <w:rPr>
          <w:rFonts w:hint="eastAsia" w:ascii="宋体" w:hAnsi="宋体" w:cs="宋体"/>
          <w:color w:val="000000"/>
          <w:sz w:val="21"/>
          <w:szCs w:val="21"/>
          <w:highlight w:val="none"/>
          <w:shd w:val="clear" w:color="auto" w:fill="FFFFFF"/>
          <w:lang w:bidi="ar"/>
        </w:rPr>
        <w:t>产品管理人和产品托管人将采取必要、适当、合理的措施确保理财产品估值的准确性、及时性。当理财产品份额每万份收益小数点后4位以内（含第4位）或七日年化收益率百分号内小数点后</w:t>
      </w:r>
      <w:r>
        <w:rPr>
          <w:rFonts w:ascii="宋体" w:hAnsi="宋体" w:cs="宋体"/>
          <w:color w:val="000000"/>
          <w:sz w:val="21"/>
          <w:szCs w:val="21"/>
          <w:highlight w:val="none"/>
          <w:shd w:val="clear" w:color="auto" w:fill="FFFFFF"/>
          <w:lang w:bidi="ar"/>
        </w:rPr>
        <w:t>3位（含第3位）</w:t>
      </w:r>
      <w:r>
        <w:rPr>
          <w:rFonts w:hint="eastAsia" w:ascii="宋体" w:hAnsi="宋体" w:cs="宋体"/>
          <w:color w:val="000000"/>
          <w:sz w:val="21"/>
          <w:szCs w:val="21"/>
          <w:highlight w:val="none"/>
          <w:shd w:val="clear" w:color="auto" w:fill="FFFFFF"/>
          <w:lang w:bidi="ar"/>
        </w:rPr>
        <w:t>发生差错时，视为理财产品份额收益率错误。</w:t>
      </w:r>
    </w:p>
    <w:p>
      <w:pPr>
        <w:pStyle w:val="2"/>
        <w:tabs>
          <w:tab w:val="left" w:pos="7234"/>
        </w:tabs>
        <w:snapToGrid w:val="0"/>
        <w:spacing w:line="380" w:lineRule="exact"/>
        <w:ind w:firstLine="420" w:firstLineChars="200"/>
        <w:rPr>
          <w:rFonts w:ascii="宋体" w:hAnsi="宋体" w:cs="宋体"/>
          <w:color w:val="000000"/>
          <w:sz w:val="21"/>
          <w:szCs w:val="21"/>
          <w:highlight w:val="none"/>
          <w:shd w:val="clear" w:color="auto" w:fill="FFFFFF"/>
          <w:lang w:bidi="ar"/>
        </w:rPr>
      </w:pPr>
      <w:r>
        <w:rPr>
          <w:rFonts w:hint="eastAsia" w:ascii="宋体" w:hAnsi="宋体" w:cs="宋体"/>
          <w:color w:val="000000"/>
          <w:sz w:val="21"/>
          <w:szCs w:val="21"/>
          <w:highlight w:val="none"/>
          <w:shd w:val="clear" w:color="auto" w:fill="FFFFFF"/>
          <w:lang w:bidi="ar"/>
        </w:rPr>
        <w:t>1.估值错误处理原则</w:t>
      </w:r>
      <w:r>
        <w:rPr>
          <w:rFonts w:hint="eastAsia" w:ascii="宋体" w:hAnsi="宋体" w:cs="宋体"/>
          <w:color w:val="000000"/>
          <w:sz w:val="21"/>
          <w:szCs w:val="21"/>
          <w:highlight w:val="none"/>
          <w:shd w:val="clear" w:color="auto" w:fill="FFFFFF"/>
          <w:lang w:bidi="ar"/>
        </w:rPr>
        <w:tab/>
      </w:r>
    </w:p>
    <w:p>
      <w:pPr>
        <w:pStyle w:val="2"/>
        <w:snapToGrid w:val="0"/>
        <w:spacing w:line="380" w:lineRule="exact"/>
        <w:ind w:firstLine="440" w:firstLineChars="200"/>
        <w:rPr>
          <w:rFonts w:ascii="宋体" w:hAnsi="宋体" w:cs="宋体"/>
          <w:color w:val="000000"/>
          <w:sz w:val="21"/>
          <w:szCs w:val="21"/>
          <w:highlight w:val="none"/>
          <w:shd w:val="clear" w:color="auto" w:fill="FFFFFF"/>
          <w:lang w:bidi="ar"/>
        </w:rPr>
      </w:pPr>
      <w:r>
        <w:rPr>
          <w:rFonts w:hint="eastAsia" w:ascii="宋体" w:hAnsi="宋体" w:cs="宋体"/>
          <w:color w:val="000000"/>
          <w:sz w:val="22"/>
          <w:szCs w:val="22"/>
          <w:highlight w:val="none"/>
          <w:shd w:val="clear" w:color="auto" w:fill="FFFFFF"/>
          <w:lang w:bidi="ar"/>
        </w:rPr>
        <w:t>（</w:t>
      </w:r>
      <w:r>
        <w:rPr>
          <w:rFonts w:ascii="宋体" w:hAnsi="宋体" w:cs="宋体"/>
          <w:color w:val="000000"/>
          <w:sz w:val="22"/>
          <w:szCs w:val="22"/>
          <w:highlight w:val="none"/>
          <w:shd w:val="clear" w:color="auto" w:fill="FFFFFF"/>
          <w:lang w:bidi="ar"/>
        </w:rPr>
        <w:t>1）</w:t>
      </w:r>
      <w:r>
        <w:rPr>
          <w:rFonts w:ascii="宋体" w:hAnsi="宋体"/>
          <w:color w:val="000000"/>
          <w:sz w:val="21"/>
          <w:szCs w:val="21"/>
          <w:highlight w:val="none"/>
        </w:rPr>
        <w:t>由于</w:t>
      </w:r>
      <w:r>
        <w:rPr>
          <w:rFonts w:hint="eastAsia" w:ascii="宋体" w:hAnsi="宋体"/>
          <w:color w:val="000000"/>
          <w:sz w:val="21"/>
          <w:szCs w:val="21"/>
          <w:highlight w:val="none"/>
        </w:rPr>
        <w:t>产品管理人或产品托管人自身的过错造成估值错误，导致投资者遭受损失的，</w:t>
      </w:r>
      <w:r>
        <w:rPr>
          <w:rFonts w:hint="eastAsia" w:ascii="宋体" w:hAnsi="宋体"/>
          <w:sz w:val="21"/>
          <w:szCs w:val="21"/>
          <w:highlight w:val="none"/>
        </w:rPr>
        <w:t>由估值错误责任方按照各自过错程度对该估值错误导致投资者遭受的直接损失给予赔偿，承担赔偿责任；</w:t>
      </w:r>
    </w:p>
    <w:p>
      <w:pPr>
        <w:pStyle w:val="2"/>
        <w:snapToGrid w:val="0"/>
        <w:spacing w:line="380" w:lineRule="exact"/>
        <w:ind w:firstLine="420" w:firstLineChars="200"/>
        <w:rPr>
          <w:rFonts w:ascii="宋体" w:hAnsi="宋体" w:cs="宋体"/>
          <w:color w:val="000000"/>
          <w:sz w:val="21"/>
          <w:szCs w:val="21"/>
          <w:highlight w:val="none"/>
          <w:shd w:val="clear" w:color="auto" w:fill="FFFFFF"/>
          <w:lang w:bidi="ar"/>
        </w:rPr>
      </w:pPr>
      <w:r>
        <w:rPr>
          <w:rFonts w:hint="eastAsia" w:ascii="宋体" w:hAnsi="宋体" w:cs="宋体"/>
          <w:color w:val="000000"/>
          <w:sz w:val="21"/>
          <w:szCs w:val="21"/>
          <w:highlight w:val="none"/>
          <w:shd w:val="clear" w:color="auto" w:fill="FFFFFF"/>
          <w:lang w:bidi="ar"/>
        </w:rPr>
        <w:t>（2</w:t>
      </w:r>
      <w:r>
        <w:rPr>
          <w:rFonts w:hint="eastAsia" w:ascii="宋体" w:hAnsi="宋体"/>
          <w:sz w:val="21"/>
          <w:szCs w:val="21"/>
          <w:highlight w:val="none"/>
        </w:rPr>
        <w:t>）对于因技术原因引起的差错，若系同行业现有技术水平无法预见、无法避免、无法抗拒，属不可抗力。因不可抗力原因出现差错的当事人不对投资者承担赔偿责任，但因该差错取得不当得利的投资者仍应负有返还不当得利的义务；</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3）因产品托管人估值错误造成财产损失时，产品管理人应向托管人追偿。若产品管理人和产品托管人之外的第三方估值差错造成财产的损失，并拒绝进行赔偿时，理财产品由产品管理人负责向差错方追偿；追偿过程中产生的有关费用，应列入产品费用，从资产中支付；</w:t>
      </w:r>
    </w:p>
    <w:p>
      <w:pPr>
        <w:pStyle w:val="2"/>
        <w:snapToGrid w:val="0"/>
        <w:spacing w:line="380" w:lineRule="exact"/>
        <w:ind w:firstLine="422" w:firstLineChars="200"/>
        <w:rPr>
          <w:rFonts w:ascii="宋体" w:hAnsi="宋体"/>
          <w:b/>
          <w:bCs/>
          <w:sz w:val="21"/>
          <w:szCs w:val="21"/>
          <w:highlight w:val="none"/>
        </w:rPr>
      </w:pPr>
      <w:r>
        <w:rPr>
          <w:rFonts w:hint="eastAsia" w:ascii="宋体" w:hAnsi="宋体"/>
          <w:b/>
          <w:bCs/>
          <w:sz w:val="21"/>
          <w:szCs w:val="21"/>
          <w:highlight w:val="none"/>
        </w:rPr>
        <w:t>（4）当估值出现错误时，因估值错误而获得不当得利的投资者负有及时返还不当得利的义务；</w:t>
      </w:r>
    </w:p>
    <w:p>
      <w:pPr>
        <w:pStyle w:val="2"/>
        <w:snapToGrid w:val="0"/>
        <w:spacing w:line="380" w:lineRule="exact"/>
        <w:ind w:firstLine="420" w:firstLineChars="200"/>
        <w:rPr>
          <w:rFonts w:ascii="宋体" w:hAnsi="宋体" w:cs="宋体"/>
          <w:color w:val="000000"/>
          <w:sz w:val="21"/>
          <w:szCs w:val="21"/>
          <w:highlight w:val="none"/>
          <w:shd w:val="clear" w:color="auto" w:fill="FFFFFF"/>
          <w:lang w:bidi="ar"/>
        </w:rPr>
      </w:pPr>
      <w:r>
        <w:rPr>
          <w:rFonts w:hint="eastAsia" w:ascii="宋体" w:hAnsi="宋体" w:cs="宋体"/>
          <w:color w:val="000000"/>
          <w:sz w:val="21"/>
          <w:szCs w:val="21"/>
          <w:highlight w:val="none"/>
          <w:shd w:val="clear" w:color="auto" w:fill="FFFFFF"/>
          <w:lang w:bidi="ar"/>
        </w:rPr>
        <w:t>（5）按法律法规规定的其他原则处理估值错误。</w:t>
      </w:r>
    </w:p>
    <w:p>
      <w:pPr>
        <w:pStyle w:val="2"/>
        <w:snapToGrid w:val="0"/>
        <w:spacing w:line="380" w:lineRule="exact"/>
        <w:ind w:firstLine="420" w:firstLineChars="200"/>
        <w:rPr>
          <w:rFonts w:ascii="宋体" w:hAnsi="宋体" w:cs="宋体"/>
          <w:color w:val="000000"/>
          <w:sz w:val="21"/>
          <w:szCs w:val="21"/>
          <w:highlight w:val="none"/>
          <w:shd w:val="clear" w:color="auto" w:fill="FFFFFF"/>
          <w:lang w:bidi="ar"/>
        </w:rPr>
      </w:pPr>
      <w:r>
        <w:rPr>
          <w:rFonts w:hint="eastAsia" w:ascii="宋体" w:hAnsi="宋体" w:cs="宋体"/>
          <w:color w:val="000000"/>
          <w:sz w:val="21"/>
          <w:szCs w:val="21"/>
          <w:highlight w:val="none"/>
          <w:shd w:val="clear" w:color="auto" w:fill="FFFFFF"/>
          <w:lang w:bidi="ar"/>
        </w:rPr>
        <w:t>2.估值错误处理程序</w:t>
      </w:r>
    </w:p>
    <w:p>
      <w:pPr>
        <w:pStyle w:val="2"/>
        <w:snapToGrid w:val="0"/>
        <w:spacing w:line="380" w:lineRule="exact"/>
        <w:ind w:firstLine="420" w:firstLineChars="200"/>
        <w:rPr>
          <w:rFonts w:ascii="宋体" w:hAnsi="宋体" w:cs="宋体"/>
          <w:color w:val="000000"/>
          <w:sz w:val="21"/>
          <w:szCs w:val="21"/>
          <w:highlight w:val="none"/>
          <w:shd w:val="clear" w:color="auto" w:fill="FFFFFF"/>
          <w:lang w:bidi="ar"/>
        </w:rPr>
      </w:pPr>
      <w:r>
        <w:rPr>
          <w:rFonts w:hint="eastAsia" w:ascii="宋体" w:hAnsi="宋体" w:cs="宋体"/>
          <w:color w:val="000000"/>
          <w:sz w:val="21"/>
          <w:szCs w:val="21"/>
          <w:highlight w:val="none"/>
          <w:shd w:val="clear" w:color="auto" w:fill="FFFFFF"/>
          <w:lang w:bidi="ar"/>
        </w:rPr>
        <w:t>估值错误被发现后，产品管理人和产品托管人应当及时进行处理，处理的程序如下：</w:t>
      </w:r>
    </w:p>
    <w:p>
      <w:pPr>
        <w:pStyle w:val="2"/>
        <w:snapToGrid w:val="0"/>
        <w:spacing w:line="380" w:lineRule="exact"/>
        <w:ind w:firstLine="420" w:firstLineChars="200"/>
        <w:rPr>
          <w:rFonts w:ascii="宋体" w:hAnsi="宋体" w:cs="宋体"/>
          <w:color w:val="000000"/>
          <w:sz w:val="21"/>
          <w:szCs w:val="21"/>
          <w:highlight w:val="none"/>
          <w:shd w:val="clear" w:color="auto" w:fill="FFFFFF"/>
          <w:lang w:bidi="ar"/>
        </w:rPr>
      </w:pPr>
      <w:r>
        <w:rPr>
          <w:rFonts w:hint="eastAsia" w:ascii="宋体" w:hAnsi="宋体" w:cs="宋体"/>
          <w:color w:val="000000"/>
          <w:sz w:val="21"/>
          <w:szCs w:val="21"/>
          <w:highlight w:val="none"/>
          <w:shd w:val="clear" w:color="auto" w:fill="FFFFFF"/>
          <w:lang w:bidi="ar"/>
        </w:rPr>
        <w:t>（1）查明估值错误发生的原因，列明所有的产品管理人和产品托管人并根据估值错误发生的原因确定估值错误的责任方；</w:t>
      </w:r>
    </w:p>
    <w:p>
      <w:pPr>
        <w:pStyle w:val="2"/>
        <w:snapToGrid w:val="0"/>
        <w:spacing w:line="380" w:lineRule="exact"/>
        <w:ind w:firstLine="420" w:firstLineChars="200"/>
        <w:rPr>
          <w:rFonts w:ascii="宋体" w:hAnsi="宋体" w:cs="宋体"/>
          <w:color w:val="000000"/>
          <w:sz w:val="21"/>
          <w:szCs w:val="21"/>
          <w:highlight w:val="none"/>
          <w:shd w:val="clear" w:color="auto" w:fill="FFFFFF"/>
          <w:lang w:bidi="ar"/>
        </w:rPr>
      </w:pPr>
      <w:r>
        <w:rPr>
          <w:rFonts w:hint="eastAsia" w:ascii="宋体" w:hAnsi="宋体" w:cs="宋体"/>
          <w:color w:val="000000"/>
          <w:sz w:val="21"/>
          <w:szCs w:val="21"/>
          <w:highlight w:val="none"/>
          <w:shd w:val="clear" w:color="auto" w:fill="FFFFFF"/>
          <w:lang w:bidi="ar"/>
        </w:rPr>
        <w:t>（2）根据估值错误处理原则对因估值错误造成的损失进行评估；</w:t>
      </w:r>
    </w:p>
    <w:p>
      <w:pPr>
        <w:pStyle w:val="2"/>
        <w:snapToGrid w:val="0"/>
        <w:spacing w:line="380" w:lineRule="exact"/>
        <w:ind w:firstLine="420" w:firstLineChars="200"/>
        <w:rPr>
          <w:rFonts w:ascii="宋体" w:hAnsi="宋体" w:cs="宋体"/>
          <w:color w:val="000000"/>
          <w:sz w:val="21"/>
          <w:szCs w:val="21"/>
          <w:highlight w:val="none"/>
          <w:shd w:val="clear" w:color="auto" w:fill="FFFFFF"/>
          <w:lang w:bidi="ar"/>
        </w:rPr>
      </w:pPr>
      <w:r>
        <w:rPr>
          <w:rFonts w:hint="eastAsia" w:ascii="宋体" w:hAnsi="宋体" w:cs="宋体"/>
          <w:color w:val="000000"/>
          <w:sz w:val="21"/>
          <w:szCs w:val="21"/>
          <w:highlight w:val="none"/>
          <w:shd w:val="clear" w:color="auto" w:fill="FFFFFF"/>
          <w:lang w:bidi="ar"/>
        </w:rPr>
        <w:t>（3）根据产品管理人和产品托管人协商的方法，由产品管理人和产品托管人共同进行更正，由估值错误的责任方进行赔偿损失。</w:t>
      </w:r>
    </w:p>
    <w:p>
      <w:pPr>
        <w:pStyle w:val="2"/>
        <w:snapToGrid w:val="0"/>
        <w:spacing w:line="380" w:lineRule="exact"/>
        <w:ind w:firstLine="422" w:firstLineChars="200"/>
        <w:rPr>
          <w:rFonts w:ascii="宋体" w:hAnsi="宋体" w:cs="宋体"/>
          <w:b/>
          <w:bCs/>
          <w:color w:val="000000"/>
          <w:sz w:val="21"/>
          <w:szCs w:val="21"/>
          <w:highlight w:val="none"/>
          <w:shd w:val="clear" w:color="auto" w:fill="FFFFFF"/>
          <w:lang w:bidi="ar"/>
        </w:rPr>
      </w:pPr>
      <w:r>
        <w:rPr>
          <w:rFonts w:hint="eastAsia" w:ascii="宋体" w:hAnsi="宋体" w:cs="宋体"/>
          <w:b/>
          <w:bCs/>
          <w:color w:val="000000"/>
          <w:sz w:val="21"/>
          <w:szCs w:val="21"/>
          <w:highlight w:val="none"/>
          <w:shd w:val="clear" w:color="auto" w:fill="FFFFFF"/>
          <w:lang w:bidi="ar"/>
        </w:rPr>
        <w:t>（四）特殊情况的处理</w:t>
      </w:r>
    </w:p>
    <w:p>
      <w:pPr>
        <w:pStyle w:val="2"/>
        <w:snapToGrid w:val="0"/>
        <w:spacing w:line="380" w:lineRule="exact"/>
        <w:ind w:firstLine="420" w:firstLineChars="200"/>
        <w:rPr>
          <w:rFonts w:ascii="宋体" w:hAnsi="宋体" w:cs="宋体"/>
          <w:color w:val="000000"/>
          <w:sz w:val="21"/>
          <w:szCs w:val="21"/>
          <w:highlight w:val="none"/>
          <w:shd w:val="clear" w:color="auto" w:fill="FFFFFF"/>
          <w:lang w:bidi="ar"/>
        </w:rPr>
      </w:pPr>
      <w:r>
        <w:rPr>
          <w:rFonts w:hint="eastAsia" w:ascii="宋体" w:hAnsi="宋体" w:cs="宋体"/>
          <w:color w:val="000000"/>
          <w:sz w:val="21"/>
          <w:szCs w:val="21"/>
          <w:highlight w:val="none"/>
          <w:shd w:val="clear" w:color="auto" w:fill="FFFFFF"/>
          <w:lang w:bidi="ar"/>
        </w:rPr>
        <w:t>1.由于不可抗力原因，或由于证券交易所、期货交易所、第三方估值机构、信托公司、基金公司等发送数据错误等非产品管理人和产品托管人原因，产品管理人和托管人虽然已经采取必要、适当、合理的措施进行检查，但未能发现错误的，由此造成的估值错误，产品管理人和产品托管人免除赔偿责任。但产品管理人、产品托管人应当积极采取必要的措施减轻或消除由此造成的影响。</w:t>
      </w:r>
    </w:p>
    <w:p>
      <w:pPr>
        <w:pStyle w:val="2"/>
        <w:snapToGrid w:val="0"/>
        <w:spacing w:line="380" w:lineRule="exact"/>
        <w:ind w:firstLine="420" w:firstLineChars="200"/>
        <w:rPr>
          <w:rFonts w:ascii="宋体" w:hAnsi="宋体" w:cs="宋体"/>
          <w:color w:val="000000"/>
          <w:sz w:val="21"/>
          <w:szCs w:val="21"/>
          <w:highlight w:val="none"/>
          <w:shd w:val="clear" w:color="auto" w:fill="FFFFFF"/>
          <w:lang w:bidi="ar"/>
        </w:rPr>
      </w:pPr>
      <w:r>
        <w:rPr>
          <w:rFonts w:hint="eastAsia" w:ascii="宋体" w:hAnsi="宋体" w:cs="宋体"/>
          <w:color w:val="000000"/>
          <w:sz w:val="21"/>
          <w:szCs w:val="21"/>
          <w:highlight w:val="none"/>
          <w:shd w:val="clear" w:color="auto" w:fill="FFFFFF"/>
          <w:lang w:bidi="ar"/>
        </w:rPr>
        <w:t>2.前述内容如法律法规、监管机构另有规定的，或有关会计准则发生变化等，按照国家最新规定或产品管理人最新约定估值。如果行业另有通行做法，产品管理人和产品托管人本着平等和保护份额持有人利益的原则进行协商。</w:t>
      </w:r>
    </w:p>
    <w:p>
      <w:pPr>
        <w:pStyle w:val="2"/>
        <w:snapToGrid w:val="0"/>
        <w:spacing w:line="380" w:lineRule="exact"/>
        <w:ind w:firstLine="422" w:firstLineChars="200"/>
        <w:rPr>
          <w:rFonts w:ascii="宋体" w:hAnsi="宋体" w:cs="宋体"/>
          <w:b/>
          <w:bCs/>
          <w:color w:val="000000"/>
          <w:sz w:val="21"/>
          <w:szCs w:val="21"/>
          <w:highlight w:val="none"/>
          <w:shd w:val="clear" w:color="auto" w:fill="FFFFFF"/>
          <w:lang w:bidi="ar"/>
        </w:rPr>
      </w:pPr>
      <w:r>
        <w:rPr>
          <w:rFonts w:hint="eastAsia" w:ascii="宋体" w:hAnsi="宋体" w:cs="宋体"/>
          <w:b/>
          <w:bCs/>
          <w:color w:val="000000"/>
          <w:sz w:val="21"/>
          <w:szCs w:val="21"/>
          <w:highlight w:val="none"/>
          <w:shd w:val="clear" w:color="auto" w:fill="FFFFFF"/>
          <w:lang w:bidi="ar"/>
        </w:rPr>
        <w:t>（五）其他</w:t>
      </w:r>
    </w:p>
    <w:p>
      <w:pPr>
        <w:widowControl/>
        <w:spacing w:line="380" w:lineRule="atLeast"/>
        <w:ind w:firstLine="420"/>
        <w:jc w:val="left"/>
        <w:rPr>
          <w:rFonts w:ascii="宋体" w:hAnsi="宋体" w:cs="宋体"/>
          <w:kern w:val="0"/>
          <w:szCs w:val="21"/>
          <w:highlight w:val="none"/>
          <w:lang w:bidi="ar"/>
        </w:rPr>
      </w:pPr>
      <w:r>
        <w:rPr>
          <w:rFonts w:hint="eastAsia" w:ascii="宋体" w:hAnsi="宋体" w:cs="宋体"/>
          <w:kern w:val="0"/>
          <w:szCs w:val="21"/>
          <w:highlight w:val="none"/>
          <w:lang w:bidi="ar"/>
        </w:rPr>
        <w:t>如有新增事项或变更事项，按国家最新规定或产品管理人最新约定估值。</w:t>
      </w:r>
    </w:p>
    <w:p>
      <w:pPr>
        <w:pStyle w:val="2"/>
        <w:snapToGrid w:val="0"/>
        <w:spacing w:line="380" w:lineRule="exact"/>
        <w:ind w:firstLine="420" w:firstLineChars="200"/>
        <w:rPr>
          <w:rFonts w:ascii="宋体" w:hAnsi="宋体" w:cs="宋体"/>
          <w:color w:val="000000"/>
          <w:sz w:val="21"/>
          <w:szCs w:val="21"/>
          <w:highlight w:val="none"/>
          <w:shd w:val="clear" w:color="auto" w:fill="FFFFFF"/>
          <w:lang w:bidi="ar"/>
        </w:rPr>
      </w:pPr>
      <w:r>
        <w:rPr>
          <w:rFonts w:hint="eastAsia" w:ascii="宋体" w:hAnsi="宋体" w:cs="宋体"/>
          <w:color w:val="000000"/>
          <w:sz w:val="21"/>
          <w:szCs w:val="21"/>
          <w:highlight w:val="none"/>
          <w:shd w:val="clear" w:color="auto" w:fill="FFFFFF"/>
          <w:lang w:bidi="ar"/>
        </w:rPr>
        <w:t>在任何情况下，管理人如采用上述规定的方法对理财财产进行估值，均应被认为采用了适当的估值方法。上述估值方法如有变动，或有更适合的估值方法，在新的估值方法实施前</w:t>
      </w:r>
      <w:r>
        <w:rPr>
          <w:rFonts w:ascii="宋体" w:hAnsi="宋体" w:cs="宋体"/>
          <w:color w:val="000000"/>
          <w:sz w:val="21"/>
          <w:szCs w:val="21"/>
          <w:highlight w:val="none"/>
          <w:shd w:val="clear" w:color="auto" w:fill="FFFFFF"/>
          <w:lang w:bidi="ar"/>
        </w:rPr>
        <w:t>3</w:t>
      </w:r>
      <w:r>
        <w:rPr>
          <w:rFonts w:hint="eastAsia" w:ascii="宋体" w:hAnsi="宋体" w:cs="宋体"/>
          <w:color w:val="000000"/>
          <w:sz w:val="21"/>
          <w:szCs w:val="21"/>
          <w:highlight w:val="none"/>
          <w:shd w:val="clear" w:color="auto" w:fill="FFFFFF"/>
          <w:lang w:bidi="ar"/>
        </w:rPr>
        <w:t>个工作日予以公开披露。</w:t>
      </w:r>
    </w:p>
    <w:p>
      <w:pPr>
        <w:pStyle w:val="2"/>
        <w:snapToGrid w:val="0"/>
        <w:spacing w:line="380" w:lineRule="exact"/>
        <w:ind w:firstLine="420" w:firstLineChars="200"/>
        <w:rPr>
          <w:rFonts w:ascii="宋体" w:hAnsi="宋体" w:cs="宋体"/>
          <w:color w:val="000000"/>
          <w:sz w:val="21"/>
          <w:szCs w:val="21"/>
          <w:highlight w:val="none"/>
          <w:shd w:val="clear" w:color="auto" w:fill="FFFFFF"/>
          <w:lang w:bidi="ar"/>
        </w:rPr>
      </w:pPr>
      <w:r>
        <w:rPr>
          <w:rFonts w:hint="eastAsia" w:ascii="宋体" w:hAnsi="宋体" w:cs="宋体"/>
          <w:color w:val="000000"/>
          <w:sz w:val="21"/>
          <w:szCs w:val="21"/>
          <w:highlight w:val="none"/>
          <w:shd w:val="clear" w:color="auto" w:fill="FFFFFF"/>
          <w:lang w:bidi="ar"/>
        </w:rPr>
        <w:t>相关法律法规以及监管部门有规定的，从其规定；如有最新规定，按最新规定估值。</w:t>
      </w:r>
    </w:p>
    <w:p>
      <w:pPr>
        <w:spacing w:line="360" w:lineRule="auto"/>
        <w:ind w:firstLine="422" w:firstLineChars="200"/>
        <w:outlineLvl w:val="1"/>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九、理财产品费用</w:t>
      </w:r>
    </w:p>
    <w:p>
      <w:pPr>
        <w:pStyle w:val="2"/>
        <w:snapToGrid w:val="0"/>
        <w:spacing w:line="380" w:lineRule="exact"/>
        <w:ind w:firstLine="420" w:firstLineChars="200"/>
        <w:rPr>
          <w:rFonts w:ascii="宋体" w:hAnsi="宋体" w:cs="宋体"/>
          <w:b/>
          <w:bCs/>
          <w:color w:val="000000"/>
          <w:sz w:val="21"/>
          <w:szCs w:val="21"/>
          <w:highlight w:val="none"/>
          <w:shd w:val="clear" w:color="auto" w:fill="FFFFFF"/>
          <w:lang w:bidi="ar"/>
        </w:rPr>
      </w:pPr>
      <w:r>
        <w:rPr>
          <w:rFonts w:hint="eastAsia" w:ascii="宋体" w:hAnsi="宋体" w:cs="宋体"/>
          <w:color w:val="000000"/>
          <w:sz w:val="21"/>
          <w:szCs w:val="21"/>
          <w:highlight w:val="none"/>
          <w:shd w:val="clear" w:color="auto" w:fill="FFFFFF"/>
          <w:lang w:bidi="ar"/>
        </w:rPr>
        <w:t>理财产品费用是指产品管理人为成立理财产品及处理理财产品实物目的而支出的所有费用，包括但不限于：</w:t>
      </w:r>
      <w:r>
        <w:rPr>
          <w:rFonts w:hint="eastAsia" w:ascii="宋体" w:hAnsi="宋体" w:cs="宋体"/>
          <w:b/>
          <w:bCs/>
          <w:color w:val="000000"/>
          <w:sz w:val="21"/>
          <w:szCs w:val="21"/>
          <w:highlight w:val="none"/>
          <w:shd w:val="clear" w:color="auto" w:fill="FFFFFF"/>
          <w:lang w:bidi="ar"/>
        </w:rPr>
        <w:t>托管人收取的产品托管费、产品管理人收取的固定管理费、</w:t>
      </w:r>
      <w:r>
        <w:rPr>
          <w:rFonts w:hint="eastAsia" w:ascii="宋体" w:hAnsi="宋体" w:cs="宋体"/>
          <w:b/>
          <w:bCs/>
          <w:color w:val="000000"/>
          <w:sz w:val="21"/>
          <w:szCs w:val="21"/>
          <w:highlight w:val="none"/>
          <w:lang w:bidi="ar"/>
        </w:rPr>
        <w:t>浮动管理费（如有）、</w:t>
      </w:r>
      <w:r>
        <w:rPr>
          <w:rFonts w:hint="eastAsia" w:ascii="宋体" w:hAnsi="宋体" w:cs="宋体"/>
          <w:b/>
          <w:bCs/>
          <w:color w:val="000000"/>
          <w:sz w:val="21"/>
          <w:szCs w:val="21"/>
          <w:highlight w:val="none"/>
          <w:shd w:val="clear" w:color="auto" w:fill="FFFFFF"/>
          <w:lang w:bidi="ar"/>
        </w:rPr>
        <w:t>代理销售机构收取的销售服务费、强制赎回费（如有）以及交易</w:t>
      </w:r>
      <w:r>
        <w:rPr>
          <w:rFonts w:ascii="宋体" w:hAnsi="宋体" w:cs="宋体"/>
          <w:b/>
          <w:bCs/>
          <w:color w:val="000000"/>
          <w:sz w:val="21"/>
          <w:szCs w:val="21"/>
          <w:highlight w:val="none"/>
          <w:shd w:val="clear" w:color="auto" w:fill="FFFFFF"/>
          <w:lang w:bidi="ar"/>
        </w:rPr>
        <w:t>费用</w:t>
      </w:r>
      <w:r>
        <w:rPr>
          <w:rFonts w:hint="eastAsia" w:ascii="宋体" w:hAnsi="宋体" w:cs="宋体"/>
          <w:b/>
          <w:bCs/>
          <w:color w:val="000000"/>
          <w:sz w:val="21"/>
          <w:szCs w:val="21"/>
          <w:highlight w:val="none"/>
          <w:shd w:val="clear" w:color="auto" w:fill="FFFFFF"/>
          <w:lang w:bidi="ar"/>
        </w:rPr>
        <w:t>（包括但不限于交易佣金、撮合费用等）</w:t>
      </w:r>
      <w:r>
        <w:rPr>
          <w:rFonts w:ascii="宋体" w:hAnsi="宋体" w:cs="宋体"/>
          <w:b/>
          <w:bCs/>
          <w:color w:val="000000"/>
          <w:sz w:val="21"/>
          <w:szCs w:val="21"/>
          <w:highlight w:val="none"/>
          <w:shd w:val="clear" w:color="auto" w:fill="FFFFFF"/>
          <w:lang w:bidi="ar"/>
        </w:rPr>
        <w:t>、</w:t>
      </w:r>
      <w:r>
        <w:rPr>
          <w:rFonts w:hint="eastAsia" w:ascii="宋体" w:hAnsi="宋体" w:cs="宋体"/>
          <w:b/>
          <w:bCs/>
          <w:color w:val="000000"/>
          <w:sz w:val="21"/>
          <w:szCs w:val="21"/>
          <w:highlight w:val="none"/>
          <w:shd w:val="clear" w:color="auto" w:fill="FFFFFF"/>
          <w:lang w:bidi="ar"/>
        </w:rPr>
        <w:t>理财产品验资费、审计费、律师费、信息披露费、清算费、执行费用、估值服务费等相关</w:t>
      </w:r>
      <w:r>
        <w:rPr>
          <w:rFonts w:ascii="宋体" w:hAnsi="宋体" w:cs="宋体"/>
          <w:b/>
          <w:bCs/>
          <w:color w:val="000000"/>
          <w:sz w:val="21"/>
          <w:szCs w:val="21"/>
          <w:highlight w:val="none"/>
          <w:shd w:val="clear" w:color="auto" w:fill="FFFFFF"/>
          <w:lang w:bidi="ar"/>
        </w:rPr>
        <w:t>费用</w:t>
      </w:r>
      <w:r>
        <w:rPr>
          <w:rFonts w:hint="eastAsia" w:ascii="宋体" w:hAnsi="宋体" w:cs="宋体"/>
          <w:b/>
          <w:bCs/>
          <w:color w:val="000000"/>
          <w:sz w:val="21"/>
          <w:szCs w:val="21"/>
          <w:highlight w:val="none"/>
          <w:shd w:val="clear" w:color="auto" w:fill="FFFFFF"/>
          <w:lang w:bidi="ar"/>
        </w:rPr>
        <w:t>。</w:t>
      </w:r>
      <w:r>
        <w:rPr>
          <w:rFonts w:hint="eastAsia" w:ascii="宋体" w:hAnsi="宋体" w:cs="宋体"/>
          <w:b/>
          <w:bCs/>
          <w:color w:val="000000"/>
          <w:kern w:val="2"/>
          <w:sz w:val="21"/>
          <w:szCs w:val="21"/>
          <w:highlight w:val="none"/>
          <w:shd w:val="clear" w:fill="FFFFFF"/>
          <w:lang w:eastAsia="zh-CN"/>
        </w:rPr>
        <w:t>理财产品费用有优惠期的，存在根据市场情况对费率优惠政策进行调整的可能，如管理人作出调整，将提前</w:t>
      </w:r>
      <w:r>
        <w:rPr>
          <w:rFonts w:hint="eastAsia" w:ascii="宋体" w:hAnsi="宋体" w:cs="宋体"/>
          <w:b/>
          <w:bCs/>
          <w:color w:val="000000"/>
          <w:kern w:val="2"/>
          <w:sz w:val="21"/>
          <w:szCs w:val="21"/>
          <w:highlight w:val="none"/>
          <w:shd w:val="clear" w:fill="FFFFFF"/>
          <w:lang w:val="en-US" w:eastAsia="zh-CN"/>
        </w:rPr>
        <w:t>3个工作日公告。</w:t>
      </w:r>
    </w:p>
    <w:p>
      <w:pPr>
        <w:pStyle w:val="2"/>
        <w:snapToGrid w:val="0"/>
        <w:spacing w:line="380" w:lineRule="exact"/>
        <w:ind w:firstLine="420" w:firstLineChars="200"/>
        <w:rPr>
          <w:rFonts w:ascii="宋体" w:hAnsi="宋体" w:cs="宋体"/>
          <w:color w:val="000000"/>
          <w:sz w:val="21"/>
          <w:szCs w:val="21"/>
          <w:highlight w:val="none"/>
          <w:shd w:val="clear" w:color="auto" w:fill="FFFFFF"/>
          <w:lang w:bidi="ar"/>
        </w:rPr>
      </w:pPr>
      <w:r>
        <w:rPr>
          <w:rFonts w:hint="eastAsia" w:ascii="宋体" w:hAnsi="宋体" w:cs="宋体"/>
          <w:color w:val="000000"/>
          <w:sz w:val="21"/>
          <w:szCs w:val="21"/>
          <w:highlight w:val="none"/>
          <w:shd w:val="clear" w:color="auto" w:fill="FFFFFF"/>
          <w:lang w:bidi="ar"/>
        </w:rPr>
        <w:t>理财产品费用按本理财产品说明书及产品管理人与费用收取方之间的协议约定从理财产品资产中支付。产品管理人或理财产品参与方以固有资产先行垫付的，有权从理财产品资产中优先受偿。</w:t>
      </w:r>
    </w:p>
    <w:p>
      <w:pPr>
        <w:pStyle w:val="2"/>
        <w:snapToGrid w:val="0"/>
        <w:spacing w:line="380" w:lineRule="exact"/>
        <w:ind w:firstLine="422" w:firstLineChars="200"/>
        <w:rPr>
          <w:rFonts w:ascii="宋体" w:hAnsi="宋体" w:cs="宋体"/>
          <w:b/>
          <w:bCs/>
          <w:color w:val="000000"/>
          <w:sz w:val="21"/>
          <w:szCs w:val="21"/>
          <w:highlight w:val="none"/>
          <w:shd w:val="clear" w:color="auto" w:fill="FFFFFF"/>
          <w:lang w:bidi="ar"/>
        </w:rPr>
      </w:pPr>
      <w:r>
        <w:rPr>
          <w:rFonts w:hint="eastAsia" w:ascii="宋体" w:hAnsi="宋体" w:cs="宋体"/>
          <w:b/>
          <w:bCs/>
          <w:color w:val="000000"/>
          <w:sz w:val="21"/>
          <w:szCs w:val="21"/>
          <w:highlight w:val="none"/>
          <w:shd w:val="clear" w:color="auto" w:fill="FFFFFF"/>
          <w:lang w:bidi="ar"/>
        </w:rPr>
        <w:t>（一）托管费</w:t>
      </w:r>
    </w:p>
    <w:p>
      <w:pPr>
        <w:pStyle w:val="2"/>
        <w:snapToGrid w:val="0"/>
        <w:spacing w:line="380" w:lineRule="exact"/>
        <w:ind w:firstLine="420" w:firstLineChars="200"/>
        <w:rPr>
          <w:rFonts w:ascii="Times New Roman" w:hAnsi="Times New Roman" w:cs="Times New Roman"/>
          <w:color w:val="000000"/>
          <w:sz w:val="21"/>
          <w:szCs w:val="21"/>
          <w:highlight w:val="none"/>
          <w:shd w:val="clear" w:color="auto" w:fill="FFFFFF"/>
          <w:lang w:bidi="ar"/>
        </w:rPr>
      </w:pPr>
      <w:r>
        <w:rPr>
          <w:rFonts w:hint="eastAsia" w:ascii="宋体" w:hAnsi="宋体" w:cs="宋体"/>
          <w:color w:val="000000"/>
          <w:sz w:val="21"/>
          <w:szCs w:val="21"/>
          <w:highlight w:val="none"/>
          <w:shd w:val="clear" w:color="auto" w:fill="FFFFFF"/>
          <w:lang w:bidi="ar"/>
        </w:rPr>
        <w:t>托管人自产品成立日起，对本理财产品收取一定的托管费，每日（含节假日）计提（产品成立首日以当日理财产品份额计算），</w:t>
      </w:r>
      <w:r>
        <w:rPr>
          <w:color w:val="000000"/>
          <w:sz w:val="21"/>
          <w:szCs w:val="21"/>
          <w:highlight w:val="none"/>
          <w:lang w:bidi="ar"/>
        </w:rPr>
        <w:t>于每季度末最后3个工作日内支付</w:t>
      </w:r>
      <w:r>
        <w:rPr>
          <w:rFonts w:hint="eastAsia" w:ascii="宋体" w:hAnsi="宋体" w:cs="宋体"/>
          <w:color w:val="000000"/>
          <w:sz w:val="21"/>
          <w:szCs w:val="21"/>
          <w:highlight w:val="none"/>
          <w:shd w:val="clear" w:color="auto" w:fill="FFFFFF"/>
          <w:lang w:bidi="ar"/>
        </w:rPr>
        <w:t>。托管费精确到小数点后2位，小数点2位以后四舍五入。每日托管费以前一自然日</w:t>
      </w:r>
      <w:r>
        <w:rPr>
          <w:rFonts w:hint="eastAsia" w:ascii="宋体" w:hAnsi="宋体" w:cs="宋体"/>
          <w:b/>
          <w:bCs/>
          <w:color w:val="000000"/>
          <w:sz w:val="21"/>
          <w:szCs w:val="21"/>
          <w:highlight w:val="none"/>
          <w:shd w:val="clear" w:color="auto" w:fill="FFFFFF"/>
          <w:lang w:bidi="ar"/>
        </w:rPr>
        <w:t>理财产品份额</w:t>
      </w:r>
      <w:r>
        <w:rPr>
          <w:rFonts w:hint="eastAsia" w:ascii="宋体" w:hAnsi="宋体" w:cs="宋体"/>
          <w:color w:val="000000"/>
          <w:sz w:val="21"/>
          <w:szCs w:val="21"/>
          <w:highlight w:val="none"/>
          <w:shd w:val="clear" w:color="auto" w:fill="FFFFFF"/>
          <w:lang w:bidi="ar"/>
        </w:rPr>
        <w:t>为基数，</w:t>
      </w:r>
      <w:r>
        <w:rPr>
          <w:rFonts w:hint="default" w:ascii="Times New Roman" w:hAnsi="Times New Roman" w:cs="Times New Roman"/>
          <w:color w:val="000000"/>
          <w:sz w:val="21"/>
          <w:szCs w:val="21"/>
          <w:highlight w:val="none"/>
          <w:shd w:val="clear" w:color="auto" w:fill="FFFFFF"/>
          <w:lang w:bidi="ar"/>
        </w:rPr>
        <w:t>计算方法如下：</w:t>
      </w:r>
    </w:p>
    <w:p>
      <w:pPr>
        <w:pStyle w:val="2"/>
        <w:snapToGrid w:val="0"/>
        <w:spacing w:line="380" w:lineRule="exact"/>
        <w:ind w:firstLine="422" w:firstLineChars="200"/>
        <w:rPr>
          <w:rFonts w:ascii="Times New Roman" w:hAnsi="Times New Roman" w:cs="Times New Roman"/>
          <w:b/>
          <w:bCs/>
          <w:color w:val="000000"/>
          <w:sz w:val="21"/>
          <w:szCs w:val="21"/>
          <w:highlight w:val="none"/>
          <w:shd w:val="clear" w:color="auto" w:fill="FFFFFF"/>
          <w:lang w:bidi="ar"/>
        </w:rPr>
      </w:pPr>
      <w:r>
        <w:rPr>
          <w:rFonts w:hint="default" w:ascii="Times New Roman" w:hAnsi="Times New Roman" w:cs="Times New Roman"/>
          <w:b/>
          <w:bCs/>
          <w:color w:val="000000"/>
          <w:sz w:val="21"/>
          <w:szCs w:val="21"/>
          <w:highlight w:val="none"/>
          <w:shd w:val="clear" w:color="auto" w:fill="FFFFFF"/>
          <w:lang w:bidi="ar"/>
        </w:rPr>
        <w:t>T＝上一自然日理财产品份额×年化托管费率÷</w:t>
      </w:r>
      <w:r>
        <w:rPr>
          <w:rFonts w:ascii="Times New Roman" w:hAnsi="Times New Roman" w:cs="Times New Roman"/>
          <w:b/>
          <w:bCs/>
          <w:color w:val="000000"/>
          <w:sz w:val="21"/>
          <w:szCs w:val="21"/>
          <w:highlight w:val="none"/>
          <w:shd w:val="clear" w:color="auto" w:fill="FFFFFF"/>
          <w:lang w:bidi="ar"/>
        </w:rPr>
        <w:t>365</w:t>
      </w:r>
    </w:p>
    <w:p>
      <w:pPr>
        <w:pStyle w:val="2"/>
        <w:snapToGrid w:val="0"/>
        <w:spacing w:line="380" w:lineRule="exact"/>
        <w:ind w:firstLine="422" w:firstLineChars="200"/>
        <w:rPr>
          <w:rFonts w:ascii="Times New Roman" w:hAnsi="Times New Roman" w:cs="Times New Roman"/>
          <w:b/>
          <w:bCs/>
          <w:color w:val="000000"/>
          <w:sz w:val="21"/>
          <w:szCs w:val="21"/>
          <w:highlight w:val="none"/>
          <w:shd w:val="clear" w:color="auto" w:fill="FFFFFF"/>
          <w:lang w:bidi="ar"/>
        </w:rPr>
      </w:pPr>
      <w:r>
        <w:rPr>
          <w:rFonts w:hint="default" w:ascii="Times New Roman" w:hAnsi="Times New Roman" w:cs="Times New Roman"/>
          <w:b/>
          <w:bCs/>
          <w:color w:val="000000"/>
          <w:sz w:val="21"/>
          <w:szCs w:val="21"/>
          <w:highlight w:val="none"/>
          <w:shd w:val="clear" w:color="auto" w:fill="FFFFFF"/>
          <w:lang w:bidi="ar"/>
        </w:rPr>
        <w:t>注：本理财产品年化托管费率为【</w:t>
      </w:r>
      <w:r>
        <w:rPr>
          <w:rFonts w:hint="default" w:ascii="Times New Roman" w:hAnsi="Times New Roman" w:cs="Times New Roman"/>
          <w:b/>
          <w:bCs/>
          <w:color w:val="000000"/>
          <w:sz w:val="21"/>
          <w:szCs w:val="21"/>
          <w:highlight w:val="none"/>
          <w:shd w:val="clear" w:color="auto" w:fill="FFFFFF"/>
          <w:lang w:val="en-US" w:eastAsia="zh-CN" w:bidi="ar"/>
        </w:rPr>
        <w:t>0.02</w:t>
      </w:r>
      <w:r>
        <w:rPr>
          <w:rFonts w:hint="default" w:ascii="Times New Roman" w:hAnsi="Times New Roman" w:cs="Times New Roman"/>
          <w:b/>
          <w:bCs/>
          <w:color w:val="000000"/>
          <w:sz w:val="21"/>
          <w:szCs w:val="21"/>
          <w:highlight w:val="none"/>
          <w:shd w:val="clear" w:color="auto" w:fill="FFFFFF"/>
          <w:lang w:bidi="ar"/>
        </w:rPr>
        <w:t>】</w:t>
      </w:r>
      <w:r>
        <w:rPr>
          <w:rFonts w:ascii="Times New Roman" w:hAnsi="Times New Roman" w:cs="Times New Roman"/>
          <w:b/>
          <w:bCs/>
          <w:color w:val="000000"/>
          <w:sz w:val="21"/>
          <w:szCs w:val="21"/>
          <w:highlight w:val="none"/>
          <w:shd w:val="clear" w:color="auto" w:fill="FFFFFF"/>
          <w:lang w:bidi="ar"/>
        </w:rPr>
        <w:t>%</w:t>
      </w:r>
      <w:r>
        <w:rPr>
          <w:rFonts w:hint="default" w:ascii="Times New Roman" w:hAnsi="Times New Roman" w:cs="Times New Roman"/>
          <w:b/>
          <w:bCs/>
          <w:color w:val="000000"/>
          <w:sz w:val="21"/>
          <w:szCs w:val="21"/>
          <w:highlight w:val="none"/>
          <w:shd w:val="clear" w:color="auto" w:fill="FFFFFF"/>
          <w:lang w:bidi="ar"/>
        </w:rPr>
        <w:t>；</w:t>
      </w:r>
    </w:p>
    <w:p>
      <w:pPr>
        <w:pStyle w:val="2"/>
        <w:snapToGrid w:val="0"/>
        <w:spacing w:line="380" w:lineRule="exact"/>
        <w:ind w:firstLine="422" w:firstLineChars="200"/>
        <w:rPr>
          <w:rFonts w:ascii="Times New Roman" w:hAnsi="Times New Roman" w:cs="Times New Roman"/>
          <w:b/>
          <w:bCs/>
          <w:color w:val="000000"/>
          <w:sz w:val="21"/>
          <w:szCs w:val="21"/>
          <w:highlight w:val="none"/>
          <w:shd w:val="clear" w:color="auto" w:fill="FFFFFF"/>
          <w:lang w:bidi="ar"/>
        </w:rPr>
      </w:pPr>
      <w:r>
        <w:rPr>
          <w:rFonts w:hint="default" w:ascii="Times New Roman" w:hAnsi="Times New Roman" w:cs="Times New Roman"/>
          <w:b/>
          <w:bCs/>
          <w:color w:val="000000"/>
          <w:sz w:val="21"/>
          <w:szCs w:val="21"/>
          <w:highlight w:val="none"/>
          <w:shd w:val="clear" w:color="auto" w:fill="FFFFFF"/>
          <w:lang w:bidi="ar"/>
        </w:rPr>
        <w:t>T为每日应计提的本理财产品托管费。</w:t>
      </w:r>
    </w:p>
    <w:p>
      <w:pPr>
        <w:pStyle w:val="2"/>
        <w:snapToGrid w:val="0"/>
        <w:spacing w:line="380" w:lineRule="exact"/>
        <w:ind w:firstLine="422" w:firstLineChars="200"/>
        <w:rPr>
          <w:rFonts w:ascii="Times New Roman" w:hAnsi="Times New Roman" w:cs="Times New Roman"/>
          <w:b/>
          <w:bCs/>
          <w:color w:val="000000"/>
          <w:sz w:val="21"/>
          <w:szCs w:val="21"/>
          <w:highlight w:val="none"/>
          <w:shd w:val="clear" w:color="auto" w:fill="FFFFFF"/>
          <w:lang w:bidi="ar"/>
        </w:rPr>
      </w:pPr>
      <w:r>
        <w:rPr>
          <w:rFonts w:hint="default" w:ascii="Times New Roman" w:hAnsi="Times New Roman" w:cs="Times New Roman"/>
          <w:b/>
          <w:bCs/>
          <w:color w:val="000000"/>
          <w:sz w:val="21"/>
          <w:szCs w:val="21"/>
          <w:highlight w:val="none"/>
          <w:shd w:val="clear" w:color="auto" w:fill="FFFFFF"/>
          <w:lang w:bidi="ar"/>
        </w:rPr>
        <w:t>（二）固定管理费</w:t>
      </w:r>
    </w:p>
    <w:p>
      <w:pPr>
        <w:pStyle w:val="2"/>
        <w:snapToGrid w:val="0"/>
        <w:spacing w:line="380" w:lineRule="exact"/>
        <w:ind w:firstLine="420" w:firstLineChars="200"/>
        <w:rPr>
          <w:rFonts w:ascii="Times New Roman" w:hAnsi="Times New Roman" w:cs="Times New Roman"/>
          <w:color w:val="000000"/>
          <w:sz w:val="21"/>
          <w:szCs w:val="21"/>
          <w:highlight w:val="none"/>
          <w:shd w:val="clear" w:color="auto" w:fill="FFFFFF"/>
          <w:lang w:bidi="ar"/>
        </w:rPr>
      </w:pPr>
      <w:r>
        <w:rPr>
          <w:rFonts w:hint="default" w:ascii="Times New Roman" w:hAnsi="Times New Roman" w:cs="Times New Roman"/>
          <w:color w:val="000000"/>
          <w:sz w:val="21"/>
          <w:szCs w:val="21"/>
          <w:highlight w:val="none"/>
          <w:shd w:val="clear" w:color="auto" w:fill="FFFFFF"/>
          <w:lang w:bidi="ar"/>
        </w:rPr>
        <w:t>产品管理人自产品成立日起，对本期产品收取一定的固定管理费，每日（含节假日）计提（产品成立首日以当日理财产品份额计算），</w:t>
      </w:r>
      <w:r>
        <w:rPr>
          <w:rFonts w:ascii="Times New Roman" w:hAnsi="Times New Roman" w:cs="Times New Roman"/>
          <w:color w:val="000000"/>
          <w:sz w:val="21"/>
          <w:szCs w:val="21"/>
          <w:highlight w:val="none"/>
          <w:lang w:bidi="ar"/>
        </w:rPr>
        <w:t>于每季度末最后3个工作日内支付</w:t>
      </w:r>
      <w:r>
        <w:rPr>
          <w:rFonts w:hint="default" w:ascii="Times New Roman" w:hAnsi="Times New Roman" w:cs="Times New Roman"/>
          <w:color w:val="000000"/>
          <w:sz w:val="21"/>
          <w:szCs w:val="21"/>
          <w:highlight w:val="none"/>
          <w:shd w:val="clear" w:color="auto" w:fill="FFFFFF"/>
          <w:lang w:bidi="ar"/>
        </w:rPr>
        <w:t>。固定管理费精确到小数点后2位，小数点2位以后四舍五入。每日固定管理费以前一自然日</w:t>
      </w:r>
      <w:r>
        <w:rPr>
          <w:rFonts w:hint="default" w:ascii="Times New Roman" w:hAnsi="Times New Roman" w:cs="Times New Roman"/>
          <w:b/>
          <w:bCs/>
          <w:color w:val="000000"/>
          <w:sz w:val="21"/>
          <w:szCs w:val="21"/>
          <w:highlight w:val="none"/>
          <w:shd w:val="clear" w:color="auto" w:fill="FFFFFF"/>
          <w:lang w:bidi="ar"/>
        </w:rPr>
        <w:t>理财产品份额</w:t>
      </w:r>
      <w:r>
        <w:rPr>
          <w:rFonts w:hint="default" w:ascii="Times New Roman" w:hAnsi="Times New Roman" w:cs="Times New Roman"/>
          <w:color w:val="000000"/>
          <w:sz w:val="21"/>
          <w:szCs w:val="21"/>
          <w:highlight w:val="none"/>
          <w:shd w:val="clear" w:color="auto" w:fill="FFFFFF"/>
          <w:lang w:bidi="ar"/>
        </w:rPr>
        <w:t>为基数，计算方法如下：</w:t>
      </w:r>
    </w:p>
    <w:p>
      <w:pPr>
        <w:pStyle w:val="2"/>
        <w:snapToGrid w:val="0"/>
        <w:spacing w:line="380" w:lineRule="exact"/>
        <w:ind w:firstLine="422" w:firstLineChars="200"/>
        <w:rPr>
          <w:rFonts w:ascii="Times New Roman" w:hAnsi="Times New Roman" w:cs="Times New Roman"/>
          <w:b/>
          <w:bCs/>
          <w:color w:val="000000"/>
          <w:sz w:val="21"/>
          <w:szCs w:val="21"/>
          <w:highlight w:val="none"/>
          <w:shd w:val="clear" w:color="auto" w:fill="FFFFFF"/>
          <w:lang w:bidi="ar"/>
        </w:rPr>
      </w:pPr>
      <w:r>
        <w:rPr>
          <w:rFonts w:ascii="Times New Roman" w:hAnsi="Times New Roman" w:cs="Times New Roman"/>
          <w:b/>
          <w:bCs/>
          <w:color w:val="000000"/>
          <w:sz w:val="21"/>
          <w:szCs w:val="21"/>
          <w:highlight w:val="none"/>
          <w:shd w:val="clear" w:color="auto" w:fill="FFFFFF"/>
          <w:lang w:bidi="ar"/>
        </w:rPr>
        <w:t>M</w:t>
      </w:r>
      <w:r>
        <w:rPr>
          <w:rFonts w:hint="default" w:ascii="Times New Roman" w:hAnsi="Times New Roman" w:cs="Times New Roman"/>
          <w:b/>
          <w:bCs/>
          <w:color w:val="000000"/>
          <w:sz w:val="21"/>
          <w:szCs w:val="21"/>
          <w:highlight w:val="none"/>
          <w:shd w:val="clear" w:color="auto" w:fill="FFFFFF"/>
          <w:lang w:bidi="ar"/>
        </w:rPr>
        <w:t>＝上一自然日理财产品份额×年化固定管理费率÷</w:t>
      </w:r>
      <w:r>
        <w:rPr>
          <w:rFonts w:ascii="Times New Roman" w:hAnsi="Times New Roman" w:cs="Times New Roman"/>
          <w:b/>
          <w:bCs/>
          <w:color w:val="000000"/>
          <w:sz w:val="21"/>
          <w:szCs w:val="21"/>
          <w:highlight w:val="none"/>
          <w:shd w:val="clear" w:color="auto" w:fill="FFFFFF"/>
          <w:lang w:bidi="ar"/>
        </w:rPr>
        <w:t>365</w:t>
      </w:r>
    </w:p>
    <w:p>
      <w:pPr>
        <w:pStyle w:val="2"/>
        <w:snapToGrid w:val="0"/>
        <w:spacing w:line="380" w:lineRule="exact"/>
        <w:ind w:firstLine="422" w:firstLineChars="200"/>
        <w:rPr>
          <w:rFonts w:hint="default" w:ascii="Times New Roman" w:hAnsi="Times New Roman" w:eastAsia="宋体" w:cs="Times New Roman"/>
          <w:b/>
          <w:bCs/>
          <w:color w:val="000000"/>
          <w:sz w:val="21"/>
          <w:szCs w:val="21"/>
          <w:highlight w:val="none"/>
          <w:shd w:val="clear" w:color="auto" w:fill="FFFFFF"/>
          <w:lang w:eastAsia="zh-CN" w:bidi="ar"/>
        </w:rPr>
      </w:pPr>
      <w:r>
        <w:rPr>
          <w:rFonts w:hint="default" w:ascii="Times New Roman" w:hAnsi="Times New Roman" w:cs="Times New Roman"/>
          <w:b/>
          <w:bCs/>
          <w:color w:val="000000"/>
          <w:sz w:val="21"/>
          <w:szCs w:val="21"/>
          <w:highlight w:val="none"/>
          <w:shd w:val="clear" w:color="auto" w:fill="FFFFFF"/>
          <w:lang w:bidi="ar"/>
        </w:rPr>
        <w:t>注：本理财产品年化固定管理费率为</w:t>
      </w:r>
      <w:r>
        <w:rPr>
          <w:rFonts w:hint="default" w:ascii="Times New Roman" w:hAnsi="Times New Roman" w:cs="Times New Roman"/>
          <w:b/>
          <w:bCs/>
          <w:kern w:val="2"/>
          <w:sz w:val="21"/>
          <w:szCs w:val="21"/>
          <w:highlight w:val="none"/>
          <w:lang w:val="en-US" w:eastAsia="zh-CN" w:bidi="ar"/>
        </w:rPr>
        <w:t>【</w:t>
      </w:r>
      <w:r>
        <w:rPr>
          <w:rFonts w:hint="eastAsia" w:cs="Times New Roman"/>
          <w:b/>
          <w:bCs/>
          <w:kern w:val="2"/>
          <w:sz w:val="21"/>
          <w:szCs w:val="21"/>
          <w:highlight w:val="none"/>
          <w:lang w:val="en-US" w:eastAsia="zh-CN" w:bidi="ar"/>
        </w:rPr>
        <w:t>0.20</w:t>
      </w:r>
      <w:r>
        <w:rPr>
          <w:rFonts w:hint="default" w:ascii="Times New Roman" w:hAnsi="Times New Roman" w:cs="Times New Roman"/>
          <w:b/>
          <w:bCs/>
          <w:kern w:val="2"/>
          <w:sz w:val="21"/>
          <w:szCs w:val="21"/>
          <w:highlight w:val="none"/>
          <w:lang w:val="en-US" w:eastAsia="zh-CN" w:bidi="ar"/>
        </w:rPr>
        <w:t>】%</w:t>
      </w:r>
      <w:r>
        <w:rPr>
          <w:rFonts w:hint="default" w:ascii="Times New Roman" w:hAnsi="Times New Roman" w:cs="Times New Roman"/>
          <w:b/>
          <w:i w:val="0"/>
          <w:caps w:val="0"/>
          <w:color w:val="000000"/>
          <w:spacing w:val="0"/>
          <w:kern w:val="2"/>
          <w:sz w:val="21"/>
          <w:szCs w:val="21"/>
          <w:lang w:val="en-US" w:eastAsia="zh-CN"/>
        </w:rPr>
        <w:t>；</w:t>
      </w:r>
    </w:p>
    <w:p>
      <w:pPr>
        <w:pStyle w:val="2"/>
        <w:snapToGrid w:val="0"/>
        <w:spacing w:line="380" w:lineRule="exact"/>
        <w:ind w:firstLine="422" w:firstLineChars="200"/>
        <w:rPr>
          <w:rFonts w:ascii="Times New Roman" w:hAnsi="Times New Roman" w:cs="Times New Roman"/>
          <w:b/>
          <w:bCs/>
          <w:color w:val="000000"/>
          <w:sz w:val="21"/>
          <w:szCs w:val="21"/>
          <w:highlight w:val="none"/>
          <w:shd w:val="clear" w:color="auto" w:fill="FFFFFF"/>
          <w:lang w:bidi="ar"/>
        </w:rPr>
      </w:pPr>
      <w:r>
        <w:rPr>
          <w:rFonts w:ascii="Times New Roman" w:hAnsi="Times New Roman" w:cs="Times New Roman"/>
          <w:b/>
          <w:bCs/>
          <w:color w:val="000000"/>
          <w:sz w:val="21"/>
          <w:szCs w:val="21"/>
          <w:highlight w:val="none"/>
          <w:shd w:val="clear" w:color="auto" w:fill="FFFFFF"/>
          <w:lang w:bidi="ar"/>
        </w:rPr>
        <w:t>M</w:t>
      </w:r>
      <w:r>
        <w:rPr>
          <w:rFonts w:hint="default" w:ascii="Times New Roman" w:hAnsi="Times New Roman" w:cs="Times New Roman"/>
          <w:b/>
          <w:bCs/>
          <w:color w:val="000000"/>
          <w:sz w:val="21"/>
          <w:szCs w:val="21"/>
          <w:highlight w:val="none"/>
          <w:shd w:val="clear" w:color="auto" w:fill="FFFFFF"/>
          <w:lang w:bidi="ar"/>
        </w:rPr>
        <w:t>为每日应计提的管理人固定管理费。</w:t>
      </w:r>
    </w:p>
    <w:p>
      <w:pPr>
        <w:pStyle w:val="2"/>
        <w:snapToGrid w:val="0"/>
        <w:spacing w:line="380" w:lineRule="exact"/>
        <w:ind w:firstLine="422" w:firstLineChars="200"/>
        <w:rPr>
          <w:rFonts w:ascii="Times New Roman" w:hAnsi="Times New Roman" w:cs="Times New Roman"/>
          <w:b/>
          <w:bCs/>
          <w:color w:val="000000"/>
          <w:sz w:val="21"/>
          <w:szCs w:val="21"/>
          <w:highlight w:val="none"/>
          <w:shd w:val="clear" w:color="auto" w:fill="FFFFFF"/>
          <w:lang w:bidi="ar"/>
        </w:rPr>
      </w:pPr>
      <w:r>
        <w:rPr>
          <w:rFonts w:hint="default" w:ascii="Times New Roman" w:hAnsi="Times New Roman" w:cs="Times New Roman"/>
          <w:b/>
          <w:bCs/>
          <w:color w:val="000000"/>
          <w:sz w:val="21"/>
          <w:szCs w:val="21"/>
          <w:highlight w:val="none"/>
          <w:shd w:val="clear" w:color="auto" w:fill="FFFFFF"/>
          <w:lang w:bidi="ar"/>
        </w:rPr>
        <w:t>（三）销售服务费</w:t>
      </w:r>
    </w:p>
    <w:p>
      <w:pPr>
        <w:pStyle w:val="2"/>
        <w:snapToGrid w:val="0"/>
        <w:spacing w:line="380" w:lineRule="exact"/>
        <w:ind w:firstLine="420" w:firstLineChars="200"/>
        <w:rPr>
          <w:rFonts w:ascii="Times New Roman" w:hAnsi="Times New Roman" w:cs="Times New Roman"/>
          <w:color w:val="000000"/>
          <w:sz w:val="21"/>
          <w:szCs w:val="21"/>
          <w:highlight w:val="none"/>
          <w:shd w:val="clear" w:color="auto" w:fill="FFFFFF"/>
          <w:lang w:bidi="ar"/>
        </w:rPr>
      </w:pPr>
      <w:r>
        <w:rPr>
          <w:rFonts w:hint="default" w:ascii="Times New Roman" w:hAnsi="Times New Roman" w:cs="Times New Roman"/>
          <w:color w:val="000000"/>
          <w:sz w:val="21"/>
          <w:szCs w:val="21"/>
          <w:highlight w:val="none"/>
          <w:shd w:val="clear" w:color="auto" w:fill="FFFFFF"/>
          <w:lang w:bidi="ar"/>
        </w:rPr>
        <w:t>代理销售机构自产品成立日起，对本理财产品收取一定的销售服务费，每日（含节假日）计提（产品成立首日以当日理财产品份额计算），按代理销售合作协议约定的方式支付。销售服务费精确到小数点后2位，小数点2位以后四舍五入。每日销售服务费以前一自然日</w:t>
      </w:r>
      <w:r>
        <w:rPr>
          <w:rFonts w:hint="default" w:ascii="Times New Roman" w:hAnsi="Times New Roman" w:cs="Times New Roman"/>
          <w:b/>
          <w:bCs/>
          <w:color w:val="000000"/>
          <w:sz w:val="21"/>
          <w:szCs w:val="21"/>
          <w:highlight w:val="none"/>
          <w:shd w:val="clear" w:color="auto" w:fill="FFFFFF"/>
          <w:lang w:bidi="ar"/>
        </w:rPr>
        <w:t>理财产品份额</w:t>
      </w:r>
      <w:r>
        <w:rPr>
          <w:rFonts w:hint="default" w:ascii="Times New Roman" w:hAnsi="Times New Roman" w:cs="Times New Roman"/>
          <w:color w:val="000000"/>
          <w:sz w:val="21"/>
          <w:szCs w:val="21"/>
          <w:highlight w:val="none"/>
          <w:shd w:val="clear" w:color="auto" w:fill="FFFFFF"/>
          <w:lang w:bidi="ar"/>
        </w:rPr>
        <w:t>为基数，计算方法如下：</w:t>
      </w:r>
    </w:p>
    <w:p>
      <w:pPr>
        <w:pStyle w:val="2"/>
        <w:snapToGrid w:val="0"/>
        <w:spacing w:line="380" w:lineRule="exact"/>
        <w:ind w:firstLine="422" w:firstLineChars="200"/>
        <w:rPr>
          <w:rFonts w:ascii="Times New Roman" w:hAnsi="Times New Roman" w:cs="Times New Roman"/>
          <w:b/>
          <w:bCs/>
          <w:color w:val="000000"/>
          <w:sz w:val="21"/>
          <w:szCs w:val="21"/>
          <w:highlight w:val="none"/>
          <w:shd w:val="clear" w:color="auto" w:fill="FFFFFF"/>
          <w:lang w:bidi="ar"/>
        </w:rPr>
      </w:pPr>
      <w:r>
        <w:rPr>
          <w:rFonts w:hint="default" w:ascii="Times New Roman" w:hAnsi="Times New Roman" w:cs="Times New Roman"/>
          <w:b/>
          <w:bCs/>
          <w:color w:val="000000"/>
          <w:sz w:val="21"/>
          <w:szCs w:val="21"/>
          <w:highlight w:val="none"/>
          <w:shd w:val="clear" w:color="auto" w:fill="FFFFFF"/>
          <w:lang w:bidi="ar"/>
        </w:rPr>
        <w:t>S＝上一自然日理财产品份额×年化销售服务费率÷</w:t>
      </w:r>
      <w:r>
        <w:rPr>
          <w:rFonts w:ascii="Times New Roman" w:hAnsi="Times New Roman" w:cs="Times New Roman"/>
          <w:b/>
          <w:bCs/>
          <w:color w:val="000000"/>
          <w:sz w:val="21"/>
          <w:szCs w:val="21"/>
          <w:highlight w:val="none"/>
          <w:shd w:val="clear" w:color="auto" w:fill="FFFFFF"/>
          <w:lang w:bidi="ar"/>
        </w:rPr>
        <w:t>365</w:t>
      </w:r>
    </w:p>
    <w:p>
      <w:pPr>
        <w:pStyle w:val="2"/>
        <w:snapToGrid w:val="0"/>
        <w:spacing w:line="380" w:lineRule="exact"/>
        <w:ind w:firstLine="422" w:firstLineChars="200"/>
        <w:rPr>
          <w:rFonts w:ascii="Times New Roman" w:hAnsi="Times New Roman" w:cs="Times New Roman"/>
          <w:b/>
          <w:bCs/>
          <w:color w:val="000000"/>
          <w:sz w:val="21"/>
          <w:szCs w:val="21"/>
          <w:highlight w:val="none"/>
          <w:shd w:val="clear" w:color="auto" w:fill="FFFFFF"/>
          <w:lang w:bidi="ar"/>
        </w:rPr>
      </w:pPr>
      <w:r>
        <w:rPr>
          <w:rFonts w:hint="default" w:ascii="Times New Roman" w:hAnsi="Times New Roman" w:cs="Times New Roman"/>
          <w:b/>
          <w:bCs/>
          <w:color w:val="000000"/>
          <w:sz w:val="21"/>
          <w:szCs w:val="21"/>
          <w:highlight w:val="none"/>
          <w:shd w:val="clear" w:color="auto" w:fill="FFFFFF"/>
          <w:lang w:bidi="ar"/>
        </w:rPr>
        <w:t>注：本理财产品年化销售服务费率为</w:t>
      </w:r>
      <w:r>
        <w:rPr>
          <w:rFonts w:hint="default" w:ascii="Times New Roman" w:hAnsi="Times New Roman" w:eastAsia="宋体" w:cs="Times New Roman"/>
          <w:b/>
          <w:bCs/>
          <w:kern w:val="2"/>
          <w:sz w:val="21"/>
          <w:szCs w:val="21"/>
          <w:lang w:val="en-US" w:eastAsia="zh-CN" w:bidi="ar"/>
        </w:rPr>
        <w:t>A份额【</w:t>
      </w:r>
      <w:r>
        <w:rPr>
          <w:rFonts w:hint="eastAsia" w:cs="Times New Roman"/>
          <w:b/>
          <w:bCs/>
          <w:kern w:val="2"/>
          <w:sz w:val="21"/>
          <w:szCs w:val="21"/>
          <w:lang w:val="en-US" w:eastAsia="zh-CN" w:bidi="ar"/>
        </w:rPr>
        <w:t>0.15</w:t>
      </w:r>
      <w:r>
        <w:rPr>
          <w:rFonts w:hint="default" w:ascii="Times New Roman" w:hAnsi="Times New Roman" w:eastAsia="宋体" w:cs="Times New Roman"/>
          <w:b/>
          <w:bCs/>
          <w:kern w:val="2"/>
          <w:sz w:val="21"/>
          <w:szCs w:val="21"/>
          <w:lang w:val="en-US" w:eastAsia="zh-CN" w:bidi="ar"/>
        </w:rPr>
        <w:t>】%；B份额【</w:t>
      </w:r>
      <w:r>
        <w:rPr>
          <w:rFonts w:hint="eastAsia" w:cs="Times New Roman"/>
          <w:b/>
          <w:bCs/>
          <w:kern w:val="2"/>
          <w:sz w:val="21"/>
          <w:szCs w:val="21"/>
          <w:lang w:val="en-US" w:eastAsia="zh-CN" w:bidi="ar"/>
        </w:rPr>
        <w:t>0.30</w:t>
      </w:r>
      <w:r>
        <w:rPr>
          <w:rFonts w:hint="default" w:ascii="Times New Roman" w:hAnsi="Times New Roman" w:eastAsia="宋体" w:cs="Times New Roman"/>
          <w:b/>
          <w:bCs/>
          <w:kern w:val="2"/>
          <w:sz w:val="21"/>
          <w:szCs w:val="21"/>
          <w:lang w:val="en-US" w:eastAsia="zh-CN" w:bidi="ar"/>
        </w:rPr>
        <w:t>】%；C份额【</w:t>
      </w:r>
      <w:r>
        <w:rPr>
          <w:rFonts w:hint="eastAsia" w:cs="Times New Roman"/>
          <w:b/>
          <w:bCs/>
          <w:kern w:val="2"/>
          <w:sz w:val="21"/>
          <w:szCs w:val="21"/>
          <w:lang w:val="en-US" w:eastAsia="zh-CN" w:bidi="ar"/>
        </w:rPr>
        <w:t>0.10</w:t>
      </w:r>
      <w:r>
        <w:rPr>
          <w:rFonts w:hint="default" w:ascii="Times New Roman" w:hAnsi="Times New Roman" w:eastAsia="宋体" w:cs="Times New Roman"/>
          <w:b/>
          <w:bCs/>
          <w:kern w:val="2"/>
          <w:sz w:val="21"/>
          <w:szCs w:val="21"/>
          <w:lang w:val="en-US" w:eastAsia="zh-CN" w:bidi="ar"/>
        </w:rPr>
        <w:t>】%；D份额【</w:t>
      </w:r>
      <w:r>
        <w:rPr>
          <w:rFonts w:hint="eastAsia" w:cs="Times New Roman"/>
          <w:b/>
          <w:bCs/>
          <w:kern w:val="2"/>
          <w:sz w:val="21"/>
          <w:szCs w:val="21"/>
          <w:lang w:val="en-US" w:eastAsia="zh-CN" w:bidi="ar"/>
        </w:rPr>
        <w:t>0.10</w:t>
      </w:r>
      <w:r>
        <w:rPr>
          <w:rFonts w:hint="default" w:ascii="Times New Roman" w:hAnsi="Times New Roman" w:eastAsia="宋体" w:cs="Times New Roman"/>
          <w:b/>
          <w:bCs/>
          <w:kern w:val="2"/>
          <w:sz w:val="21"/>
          <w:szCs w:val="21"/>
          <w:lang w:val="en-US" w:eastAsia="zh-CN" w:bidi="ar"/>
        </w:rPr>
        <w:t>】%；E份额【</w:t>
      </w:r>
      <w:r>
        <w:rPr>
          <w:rFonts w:hint="eastAsia" w:cs="Times New Roman"/>
          <w:b/>
          <w:bCs/>
          <w:kern w:val="2"/>
          <w:sz w:val="21"/>
          <w:szCs w:val="21"/>
          <w:lang w:val="en-US" w:eastAsia="zh-CN" w:bidi="ar"/>
        </w:rPr>
        <w:t>0.20</w:t>
      </w:r>
      <w:r>
        <w:rPr>
          <w:rFonts w:hint="default" w:ascii="Times New Roman" w:hAnsi="Times New Roman" w:eastAsia="宋体" w:cs="Times New Roman"/>
          <w:b/>
          <w:bCs/>
          <w:kern w:val="2"/>
          <w:sz w:val="21"/>
          <w:szCs w:val="21"/>
          <w:lang w:val="en-US" w:eastAsia="zh-CN" w:bidi="ar"/>
        </w:rPr>
        <w:t>】%</w:t>
      </w:r>
      <w:r>
        <w:rPr>
          <w:rFonts w:hint="eastAsia" w:cs="Times New Roman"/>
          <w:b/>
          <w:bCs/>
          <w:kern w:val="2"/>
          <w:sz w:val="21"/>
          <w:szCs w:val="21"/>
          <w:lang w:val="en-US" w:eastAsia="zh-CN" w:bidi="ar"/>
        </w:rPr>
        <w:t>；</w:t>
      </w:r>
    </w:p>
    <w:p>
      <w:pPr>
        <w:pStyle w:val="2"/>
        <w:snapToGrid w:val="0"/>
        <w:spacing w:line="380" w:lineRule="exact"/>
        <w:ind w:firstLine="422" w:firstLineChars="200"/>
        <w:rPr>
          <w:rFonts w:ascii="Times New Roman" w:hAnsi="Times New Roman" w:cs="Times New Roman"/>
          <w:b/>
          <w:bCs/>
          <w:color w:val="000000"/>
          <w:sz w:val="21"/>
          <w:szCs w:val="21"/>
          <w:highlight w:val="none"/>
          <w:shd w:val="clear" w:color="auto" w:fill="FFFFFF"/>
          <w:lang w:bidi="ar"/>
        </w:rPr>
      </w:pPr>
      <w:r>
        <w:rPr>
          <w:rFonts w:hint="default" w:ascii="Times New Roman" w:hAnsi="Times New Roman" w:cs="Times New Roman"/>
          <w:b/>
          <w:bCs/>
          <w:color w:val="000000"/>
          <w:sz w:val="21"/>
          <w:szCs w:val="21"/>
          <w:highlight w:val="none"/>
          <w:shd w:val="clear" w:color="auto" w:fill="FFFFFF"/>
          <w:lang w:bidi="ar"/>
        </w:rPr>
        <w:t>S为每日应计提的本理财产品销售服务费。</w:t>
      </w:r>
    </w:p>
    <w:p>
      <w:pPr>
        <w:pStyle w:val="2"/>
        <w:snapToGrid w:val="0"/>
        <w:spacing w:line="380" w:lineRule="exact"/>
        <w:ind w:firstLine="422" w:firstLineChars="200"/>
        <w:rPr>
          <w:rFonts w:ascii="Times New Roman" w:hAnsi="Times New Roman" w:cs="Times New Roman"/>
          <w:b/>
          <w:bCs/>
          <w:color w:val="000000"/>
          <w:sz w:val="21"/>
          <w:szCs w:val="21"/>
          <w:highlight w:val="none"/>
          <w:shd w:val="clear" w:color="auto" w:fill="FFFFFF"/>
          <w:lang w:bidi="ar"/>
        </w:rPr>
      </w:pPr>
      <w:r>
        <w:rPr>
          <w:rFonts w:hint="default" w:ascii="Times New Roman" w:hAnsi="Times New Roman" w:cs="Times New Roman"/>
          <w:b/>
          <w:bCs/>
          <w:color w:val="000000"/>
          <w:sz w:val="21"/>
          <w:szCs w:val="21"/>
          <w:highlight w:val="none"/>
          <w:shd w:val="clear" w:color="auto" w:fill="FFFFFF"/>
          <w:lang w:bidi="ar"/>
        </w:rPr>
        <w:t>（四）强制赎回费</w:t>
      </w:r>
    </w:p>
    <w:p>
      <w:pPr>
        <w:pStyle w:val="2"/>
        <w:snapToGrid w:val="0"/>
        <w:spacing w:line="380" w:lineRule="exact"/>
        <w:ind w:firstLine="420" w:firstLineChars="200"/>
        <w:rPr>
          <w:rFonts w:ascii="宋体" w:hAnsi="宋体" w:cs="宋体"/>
          <w:color w:val="000000"/>
          <w:sz w:val="21"/>
          <w:szCs w:val="21"/>
          <w:highlight w:val="none"/>
          <w:shd w:val="clear" w:color="auto" w:fill="FFFFFF"/>
          <w:lang w:bidi="ar"/>
        </w:rPr>
      </w:pPr>
      <w:r>
        <w:rPr>
          <w:rFonts w:hint="eastAsia" w:ascii="宋体" w:hAnsi="宋体" w:cs="宋体"/>
          <w:color w:val="000000"/>
          <w:sz w:val="21"/>
          <w:szCs w:val="21"/>
          <w:highlight w:val="none"/>
          <w:shd w:val="clear" w:color="auto" w:fill="FFFFFF"/>
          <w:lang w:bidi="ar"/>
        </w:rPr>
        <w:t>1.当本产品在满足相关流动性风险管理要求的前提下，当持有的现金、国债、中央银行票据、政策性金融债以及5个交易日内到期的其他金融工具占产品资产净值的比例合计低于5%，且偏离度为负时，产品管理人有权对单个投资者申请赎回份额超过上一工作日理财产品份额1%以上的赎回申请按1%收取强制赎回费；</w:t>
      </w:r>
    </w:p>
    <w:p>
      <w:pPr>
        <w:pStyle w:val="2"/>
        <w:snapToGrid w:val="0"/>
        <w:spacing w:line="380" w:lineRule="exact"/>
        <w:ind w:firstLine="420" w:firstLineChars="200"/>
        <w:rPr>
          <w:rFonts w:ascii="宋体" w:hAnsi="宋体" w:cs="宋体"/>
          <w:color w:val="000000"/>
          <w:sz w:val="21"/>
          <w:szCs w:val="21"/>
          <w:highlight w:val="none"/>
          <w:shd w:val="clear" w:color="auto" w:fill="FFFFFF"/>
          <w:lang w:bidi="ar"/>
        </w:rPr>
      </w:pPr>
      <w:r>
        <w:rPr>
          <w:rFonts w:hint="eastAsia" w:ascii="宋体" w:hAnsi="宋体" w:cs="宋体"/>
          <w:color w:val="000000"/>
          <w:sz w:val="21"/>
          <w:szCs w:val="21"/>
          <w:highlight w:val="none"/>
          <w:shd w:val="clear" w:color="auto" w:fill="FFFFFF"/>
          <w:lang w:bidi="ar"/>
        </w:rPr>
        <w:t>2.本产品前10名投资者的持有份额合计超过该产品总份额50%的，当投资组合中现金、国债、中央银行票据、政策性金融债券以及5个交易日内到期的其他金融工具占该产品资产净值的比例合计低于10%且偏离度为负时，产品管理人有权对投资者超过该产品总份额1%以上的赎回申请征收1%的强制赎回费用。</w:t>
      </w:r>
    </w:p>
    <w:p>
      <w:pPr>
        <w:pStyle w:val="2"/>
        <w:snapToGrid w:val="0"/>
        <w:spacing w:line="380" w:lineRule="exact"/>
        <w:ind w:firstLine="420" w:firstLineChars="200"/>
        <w:rPr>
          <w:rFonts w:ascii="宋体" w:hAnsi="宋体" w:cs="宋体"/>
          <w:color w:val="000000"/>
          <w:sz w:val="21"/>
          <w:szCs w:val="21"/>
          <w:highlight w:val="none"/>
          <w:shd w:val="clear" w:color="auto" w:fill="FFFFFF"/>
          <w:lang w:bidi="ar"/>
        </w:rPr>
      </w:pPr>
      <w:r>
        <w:rPr>
          <w:rFonts w:hint="eastAsia" w:ascii="宋体" w:hAnsi="宋体" w:cs="宋体"/>
          <w:color w:val="000000"/>
          <w:sz w:val="21"/>
          <w:szCs w:val="21"/>
          <w:highlight w:val="none"/>
          <w:shd w:val="clear" w:color="auto" w:fill="FFFFFF"/>
          <w:lang w:bidi="ar"/>
        </w:rPr>
        <w:t>上述强制赎回费全额计入本理财产品财产，管理人与托管人协商确定上述做法无益于产品利益最大化的情形除外。</w:t>
      </w:r>
    </w:p>
    <w:p>
      <w:pPr>
        <w:pStyle w:val="2"/>
        <w:snapToGrid w:val="0"/>
        <w:spacing w:line="380" w:lineRule="exact"/>
        <w:ind w:firstLine="422" w:firstLineChars="200"/>
        <w:rPr>
          <w:rFonts w:ascii="宋体" w:hAnsi="宋体" w:cs="宋体"/>
          <w:b/>
          <w:bCs/>
          <w:color w:val="000000"/>
          <w:sz w:val="21"/>
          <w:szCs w:val="21"/>
          <w:highlight w:val="none"/>
          <w:shd w:val="clear" w:color="auto" w:fill="FFFFFF"/>
          <w:lang w:bidi="ar"/>
        </w:rPr>
      </w:pPr>
      <w:r>
        <w:rPr>
          <w:rFonts w:hint="eastAsia" w:ascii="宋体" w:hAnsi="宋体" w:cs="宋体"/>
          <w:b/>
          <w:bCs/>
          <w:color w:val="000000"/>
          <w:sz w:val="21"/>
          <w:szCs w:val="21"/>
          <w:highlight w:val="none"/>
          <w:shd w:val="clear" w:color="auto" w:fill="FFFFFF"/>
          <w:lang w:bidi="ar"/>
        </w:rPr>
        <w:t>R=应征收强制赎回费份额×1%</w:t>
      </w:r>
    </w:p>
    <w:p>
      <w:pPr>
        <w:pStyle w:val="2"/>
        <w:snapToGrid w:val="0"/>
        <w:spacing w:line="380" w:lineRule="exact"/>
        <w:ind w:firstLine="422" w:firstLineChars="200"/>
        <w:rPr>
          <w:rFonts w:ascii="宋体" w:hAnsi="宋体" w:cs="宋体"/>
          <w:b/>
          <w:bCs/>
          <w:color w:val="000000"/>
          <w:sz w:val="21"/>
          <w:szCs w:val="21"/>
          <w:highlight w:val="none"/>
          <w:shd w:val="clear" w:color="auto" w:fill="FFFFFF"/>
          <w:lang w:bidi="ar"/>
        </w:rPr>
      </w:pPr>
      <w:r>
        <w:rPr>
          <w:rFonts w:hint="eastAsia" w:ascii="宋体" w:hAnsi="宋体" w:cs="宋体"/>
          <w:b/>
          <w:bCs/>
          <w:color w:val="000000"/>
          <w:sz w:val="21"/>
          <w:szCs w:val="21"/>
          <w:highlight w:val="none"/>
          <w:shd w:val="clear" w:color="auto" w:fill="FFFFFF"/>
          <w:lang w:bidi="ar"/>
        </w:rPr>
        <w:t>R为应计提的强制赎回费。</w:t>
      </w:r>
    </w:p>
    <w:p>
      <w:pPr>
        <w:pStyle w:val="2"/>
        <w:snapToGrid w:val="0"/>
        <w:spacing w:line="380" w:lineRule="exact"/>
        <w:ind w:firstLine="422" w:firstLineChars="200"/>
        <w:rPr>
          <w:rFonts w:ascii="宋体" w:hAnsi="宋体" w:cs="宋体"/>
          <w:b/>
          <w:bCs/>
          <w:color w:val="000000"/>
          <w:sz w:val="21"/>
          <w:szCs w:val="21"/>
          <w:highlight w:val="none"/>
          <w:shd w:val="clear" w:color="auto" w:fill="FFFFFF"/>
          <w:lang w:bidi="ar"/>
        </w:rPr>
      </w:pPr>
      <w:r>
        <w:rPr>
          <w:rFonts w:hint="eastAsia" w:ascii="宋体" w:hAnsi="宋体" w:cs="宋体"/>
          <w:b/>
          <w:bCs/>
          <w:color w:val="000000"/>
          <w:sz w:val="21"/>
          <w:szCs w:val="21"/>
          <w:highlight w:val="none"/>
          <w:shd w:val="clear" w:color="auto" w:fill="FFFFFF"/>
          <w:lang w:bidi="ar"/>
        </w:rPr>
        <w:t>（五）浮动管理费</w:t>
      </w:r>
    </w:p>
    <w:p>
      <w:pPr>
        <w:pStyle w:val="2"/>
        <w:widowControl/>
        <w:spacing w:line="380" w:lineRule="exact"/>
        <w:ind w:left="0" w:firstLine="420" w:firstLineChars="20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本产品不收取浮动管理费。</w:t>
      </w:r>
    </w:p>
    <w:p>
      <w:pPr>
        <w:pStyle w:val="2"/>
        <w:snapToGrid w:val="0"/>
        <w:spacing w:line="380" w:lineRule="exact"/>
        <w:ind w:firstLine="422" w:firstLineChars="200"/>
        <w:rPr>
          <w:rFonts w:ascii="宋体" w:hAnsi="宋体" w:cs="宋体"/>
          <w:b/>
          <w:bCs/>
          <w:color w:val="000000"/>
          <w:sz w:val="21"/>
          <w:szCs w:val="21"/>
          <w:highlight w:val="none"/>
          <w:shd w:val="clear" w:color="auto" w:fill="FFFFFF"/>
          <w:lang w:bidi="ar"/>
        </w:rPr>
      </w:pPr>
      <w:r>
        <w:rPr>
          <w:rFonts w:hint="eastAsia" w:ascii="宋体" w:hAnsi="宋体" w:cs="宋体"/>
          <w:b/>
          <w:bCs/>
          <w:color w:val="000000"/>
          <w:sz w:val="21"/>
          <w:szCs w:val="21"/>
          <w:highlight w:val="none"/>
          <w:shd w:val="clear" w:color="auto" w:fill="FFFFFF"/>
          <w:lang w:bidi="ar"/>
        </w:rPr>
        <w:t>（六）其它费用</w:t>
      </w:r>
    </w:p>
    <w:p>
      <w:pPr>
        <w:pStyle w:val="2"/>
        <w:snapToGrid w:val="0"/>
        <w:spacing w:line="380" w:lineRule="exact"/>
        <w:ind w:firstLine="420" w:firstLineChars="200"/>
        <w:rPr>
          <w:rFonts w:ascii="宋体" w:hAnsi="宋体" w:cs="宋体"/>
          <w:color w:val="000000"/>
          <w:sz w:val="21"/>
          <w:szCs w:val="21"/>
          <w:highlight w:val="none"/>
          <w:shd w:val="clear" w:color="auto" w:fill="FFFFFF"/>
          <w:lang w:bidi="ar"/>
        </w:rPr>
      </w:pPr>
      <w:r>
        <w:rPr>
          <w:rFonts w:hint="eastAsia" w:ascii="宋体" w:hAnsi="宋体" w:cs="宋体"/>
          <w:color w:val="000000"/>
          <w:sz w:val="21"/>
          <w:szCs w:val="21"/>
          <w:highlight w:val="none"/>
          <w:shd w:val="clear" w:color="auto" w:fill="FFFFFF"/>
          <w:lang w:bidi="ar"/>
        </w:rPr>
        <w:t>除管理费、托管费、销售服务费、强制赎回费（如有）、浮动管理费（如有）之外的产品税收及费用，由产品管理人根据其他有关法规及相应协议的规定，按费用支出金额支付，列入或摊入当期产品费用。</w:t>
      </w:r>
    </w:p>
    <w:p>
      <w:pPr>
        <w:pStyle w:val="2"/>
        <w:snapToGrid w:val="0"/>
        <w:spacing w:line="380" w:lineRule="exact"/>
        <w:ind w:firstLine="422" w:firstLineChars="200"/>
        <w:rPr>
          <w:rFonts w:ascii="宋体" w:hAnsi="宋体" w:cs="宋体"/>
          <w:b/>
          <w:bCs/>
          <w:color w:val="000000"/>
          <w:sz w:val="21"/>
          <w:szCs w:val="21"/>
          <w:highlight w:val="none"/>
          <w:shd w:val="clear" w:color="auto" w:fill="FFFFFF"/>
          <w:lang w:bidi="ar"/>
        </w:rPr>
      </w:pPr>
      <w:r>
        <w:rPr>
          <w:rFonts w:hint="eastAsia" w:ascii="宋体" w:hAnsi="宋体" w:cs="宋体"/>
          <w:b/>
          <w:bCs/>
          <w:color w:val="000000"/>
          <w:sz w:val="21"/>
          <w:szCs w:val="21"/>
          <w:highlight w:val="none"/>
          <w:shd w:val="clear" w:color="auto" w:fill="FFFFFF"/>
          <w:lang w:bidi="ar"/>
        </w:rPr>
        <w:t>（七）费用调整</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产品管理人有权根据相关法律和国家政策的规定，对本理财产品的收费项目、收费条件、收费标准和收费方式进行调整。</w:t>
      </w:r>
      <w:r>
        <w:rPr>
          <w:rFonts w:hint="eastAsia" w:ascii="宋体" w:hAnsi="宋体"/>
          <w:b/>
          <w:bCs/>
          <w:sz w:val="21"/>
          <w:szCs w:val="21"/>
          <w:highlight w:val="none"/>
        </w:rPr>
        <w:t>如新增收费项目或调整收费标准</w:t>
      </w:r>
      <w:r>
        <w:rPr>
          <w:rFonts w:ascii="宋体" w:hAnsi="宋体"/>
          <w:b/>
          <w:bCs/>
          <w:sz w:val="21"/>
          <w:szCs w:val="21"/>
          <w:highlight w:val="none"/>
        </w:rPr>
        <w:t>，则至少于</w:t>
      </w:r>
      <w:r>
        <w:rPr>
          <w:rFonts w:hint="eastAsia" w:ascii="宋体" w:hAnsi="宋体"/>
          <w:b/>
          <w:bCs/>
          <w:sz w:val="21"/>
          <w:szCs w:val="21"/>
          <w:highlight w:val="none"/>
        </w:rPr>
        <w:t>收费标准</w:t>
      </w:r>
      <w:r>
        <w:rPr>
          <w:rFonts w:ascii="宋体" w:hAnsi="宋体"/>
          <w:b/>
          <w:bCs/>
          <w:sz w:val="21"/>
          <w:szCs w:val="21"/>
          <w:highlight w:val="none"/>
        </w:rPr>
        <w:t>调整日之前5个工作日进行公告。如投资者不接受的，可按</w:t>
      </w:r>
      <w:r>
        <w:rPr>
          <w:rFonts w:hint="eastAsia" w:ascii="宋体" w:hAnsi="宋体"/>
          <w:b/>
          <w:bCs/>
          <w:sz w:val="21"/>
          <w:szCs w:val="21"/>
          <w:highlight w:val="none"/>
        </w:rPr>
        <w:t>本理财</w:t>
      </w:r>
      <w:r>
        <w:rPr>
          <w:rFonts w:ascii="宋体" w:hAnsi="宋体"/>
          <w:b/>
          <w:bCs/>
          <w:sz w:val="21"/>
          <w:szCs w:val="21"/>
          <w:highlight w:val="none"/>
        </w:rPr>
        <w:t>产品说明书的约定赎回</w:t>
      </w:r>
      <w:r>
        <w:rPr>
          <w:rFonts w:hint="eastAsia" w:ascii="宋体" w:hAnsi="宋体"/>
          <w:b/>
          <w:bCs/>
          <w:sz w:val="21"/>
          <w:szCs w:val="21"/>
          <w:highlight w:val="none"/>
        </w:rPr>
        <w:t>。</w:t>
      </w:r>
    </w:p>
    <w:p>
      <w:pPr>
        <w:spacing w:line="360" w:lineRule="auto"/>
        <w:ind w:firstLine="422" w:firstLineChars="200"/>
        <w:outlineLvl w:val="1"/>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十、理财产品税费</w:t>
      </w:r>
    </w:p>
    <w:p>
      <w:pPr>
        <w:pStyle w:val="2"/>
        <w:snapToGrid w:val="0"/>
        <w:spacing w:line="380" w:lineRule="exact"/>
        <w:ind w:firstLine="420" w:firstLineChars="200"/>
        <w:rPr>
          <w:rFonts w:ascii="宋体" w:hAnsi="宋体"/>
          <w:sz w:val="21"/>
          <w:szCs w:val="21"/>
          <w:highlight w:val="none"/>
        </w:rPr>
      </w:pPr>
      <w:r>
        <w:rPr>
          <w:rFonts w:ascii="宋体" w:hAnsi="宋体"/>
          <w:sz w:val="21"/>
          <w:szCs w:val="21"/>
          <w:highlight w:val="none"/>
        </w:rPr>
        <w:t>1.理财产品税费在理财产品资产中列支。</w:t>
      </w:r>
    </w:p>
    <w:p>
      <w:pPr>
        <w:pStyle w:val="2"/>
        <w:snapToGrid w:val="0"/>
        <w:spacing w:line="380" w:lineRule="exact"/>
        <w:ind w:firstLine="420" w:firstLineChars="200"/>
        <w:rPr>
          <w:rFonts w:ascii="宋体" w:hAnsi="宋体"/>
          <w:sz w:val="21"/>
          <w:szCs w:val="21"/>
          <w:highlight w:val="none"/>
        </w:rPr>
      </w:pPr>
      <w:r>
        <w:rPr>
          <w:rFonts w:ascii="宋体" w:hAnsi="宋体"/>
          <w:sz w:val="21"/>
          <w:szCs w:val="21"/>
          <w:highlight w:val="none"/>
        </w:rPr>
        <w:t>2.除理财产品</w:t>
      </w:r>
      <w:r>
        <w:rPr>
          <w:rFonts w:hint="eastAsia" w:ascii="宋体" w:hAnsi="宋体"/>
          <w:sz w:val="21"/>
          <w:szCs w:val="21"/>
          <w:highlight w:val="none"/>
        </w:rPr>
        <w:t>销售文件</w:t>
      </w:r>
      <w:r>
        <w:rPr>
          <w:rFonts w:ascii="宋体" w:hAnsi="宋体"/>
          <w:sz w:val="21"/>
          <w:szCs w:val="21"/>
          <w:highlight w:val="none"/>
        </w:rPr>
        <w:t>另有约定外，理财产品运作过程中涉及的各纳税主体，依照适用法律规定自行履行纳税义务。</w:t>
      </w:r>
    </w:p>
    <w:p>
      <w:pPr>
        <w:pStyle w:val="2"/>
        <w:snapToGrid w:val="0"/>
        <w:spacing w:line="380" w:lineRule="exact"/>
        <w:ind w:firstLine="420" w:firstLineChars="200"/>
        <w:rPr>
          <w:rFonts w:ascii="宋体" w:hAnsi="宋体"/>
          <w:sz w:val="21"/>
          <w:szCs w:val="21"/>
          <w:highlight w:val="none"/>
        </w:rPr>
      </w:pPr>
      <w:r>
        <w:rPr>
          <w:rFonts w:ascii="宋体" w:hAnsi="宋体"/>
          <w:sz w:val="21"/>
          <w:szCs w:val="21"/>
          <w:highlight w:val="none"/>
        </w:rPr>
        <w:t>3.若适用法律要求</w:t>
      </w:r>
      <w:r>
        <w:rPr>
          <w:rFonts w:hint="eastAsia" w:ascii="宋体" w:hAnsi="宋体"/>
          <w:sz w:val="21"/>
          <w:szCs w:val="21"/>
          <w:highlight w:val="none"/>
        </w:rPr>
        <w:t>产品</w:t>
      </w:r>
      <w:r>
        <w:rPr>
          <w:rFonts w:ascii="宋体" w:hAnsi="宋体"/>
          <w:sz w:val="21"/>
          <w:szCs w:val="21"/>
          <w:highlight w:val="none"/>
        </w:rPr>
        <w:t>管理人代扣代缴理财产品份额持有人应纳税款的，</w:t>
      </w:r>
      <w:r>
        <w:rPr>
          <w:rFonts w:hint="eastAsia" w:ascii="宋体" w:hAnsi="宋体"/>
          <w:sz w:val="21"/>
          <w:szCs w:val="21"/>
          <w:highlight w:val="none"/>
        </w:rPr>
        <w:t>产品</w:t>
      </w:r>
      <w:r>
        <w:rPr>
          <w:rFonts w:ascii="宋体" w:hAnsi="宋体"/>
          <w:sz w:val="21"/>
          <w:szCs w:val="21"/>
          <w:highlight w:val="none"/>
        </w:rPr>
        <w:t>管理人将依法履行扣缴义务，份额持有人对此应给予配合。</w:t>
      </w:r>
    </w:p>
    <w:p>
      <w:pPr>
        <w:pStyle w:val="2"/>
        <w:snapToGrid w:val="0"/>
        <w:spacing w:line="380" w:lineRule="exact"/>
        <w:ind w:firstLine="420" w:firstLineChars="200"/>
        <w:rPr>
          <w:rFonts w:ascii="宋体" w:hAnsi="宋体"/>
          <w:sz w:val="21"/>
          <w:szCs w:val="21"/>
          <w:highlight w:val="none"/>
        </w:rPr>
      </w:pPr>
      <w:r>
        <w:rPr>
          <w:rFonts w:ascii="宋体" w:hAnsi="宋体"/>
          <w:sz w:val="21"/>
          <w:szCs w:val="21"/>
          <w:highlight w:val="none"/>
        </w:rPr>
        <w:t>4.理财产品在资产管理、运作、处置过程中产生的收入，</w:t>
      </w:r>
      <w:r>
        <w:rPr>
          <w:rFonts w:hint="eastAsia" w:ascii="宋体" w:hAnsi="宋体"/>
          <w:sz w:val="21"/>
          <w:szCs w:val="21"/>
          <w:highlight w:val="none"/>
        </w:rPr>
        <w:t>依据</w:t>
      </w:r>
      <w:r>
        <w:rPr>
          <w:rFonts w:ascii="宋体" w:hAnsi="宋体"/>
          <w:sz w:val="21"/>
          <w:szCs w:val="21"/>
          <w:highlight w:val="none"/>
        </w:rPr>
        <w:t>适用法律应缴纳</w:t>
      </w:r>
      <w:r>
        <w:rPr>
          <w:rFonts w:hint="eastAsia" w:ascii="宋体" w:hAnsi="宋体"/>
          <w:sz w:val="21"/>
          <w:szCs w:val="21"/>
          <w:highlight w:val="none"/>
        </w:rPr>
        <w:t>增值税</w:t>
      </w:r>
      <w:r>
        <w:rPr>
          <w:rFonts w:ascii="宋体" w:hAnsi="宋体"/>
          <w:sz w:val="21"/>
          <w:szCs w:val="21"/>
          <w:highlight w:val="none"/>
        </w:rPr>
        <w:t>（含增值税附加税）及/或其他税费的，即使</w:t>
      </w:r>
      <w:r>
        <w:rPr>
          <w:rFonts w:hint="eastAsia" w:ascii="宋体" w:hAnsi="宋体"/>
          <w:sz w:val="21"/>
          <w:szCs w:val="21"/>
          <w:highlight w:val="none"/>
        </w:rPr>
        <w:t>产品</w:t>
      </w:r>
      <w:r>
        <w:rPr>
          <w:rFonts w:ascii="宋体" w:hAnsi="宋体"/>
          <w:sz w:val="21"/>
          <w:szCs w:val="21"/>
          <w:highlight w:val="none"/>
        </w:rPr>
        <w:t>管理人被税务机关认定为纳税义务人，该等</w:t>
      </w:r>
      <w:r>
        <w:rPr>
          <w:rFonts w:hint="eastAsia" w:ascii="宋体" w:hAnsi="宋体"/>
          <w:sz w:val="21"/>
          <w:szCs w:val="21"/>
          <w:highlight w:val="none"/>
        </w:rPr>
        <w:t>增值税</w:t>
      </w:r>
      <w:r>
        <w:rPr>
          <w:rFonts w:ascii="宋体" w:hAnsi="宋体"/>
          <w:sz w:val="21"/>
          <w:szCs w:val="21"/>
          <w:highlight w:val="none"/>
        </w:rPr>
        <w:t>（含增值税附加税）及/或其他税费仍属于理财产品税费，应在理财产品资产中列支、扣除并由</w:t>
      </w:r>
      <w:r>
        <w:rPr>
          <w:rFonts w:hint="eastAsia" w:ascii="宋体" w:hAnsi="宋体"/>
          <w:sz w:val="21"/>
          <w:szCs w:val="21"/>
          <w:highlight w:val="none"/>
        </w:rPr>
        <w:t>产品</w:t>
      </w:r>
      <w:r>
        <w:rPr>
          <w:rFonts w:ascii="宋体" w:hAnsi="宋体"/>
          <w:sz w:val="21"/>
          <w:szCs w:val="21"/>
          <w:highlight w:val="none"/>
        </w:rPr>
        <w:t>管理人申报和缴纳，份额持有人对此应予同意及充分配合。但</w:t>
      </w:r>
      <w:r>
        <w:rPr>
          <w:rFonts w:hint="eastAsia" w:ascii="宋体" w:hAnsi="宋体"/>
          <w:sz w:val="21"/>
          <w:szCs w:val="21"/>
          <w:highlight w:val="none"/>
        </w:rPr>
        <w:t>产品</w:t>
      </w:r>
      <w:r>
        <w:rPr>
          <w:rFonts w:ascii="宋体" w:hAnsi="宋体"/>
          <w:sz w:val="21"/>
          <w:szCs w:val="21"/>
          <w:highlight w:val="none"/>
        </w:rPr>
        <w:t>管理人向理财产品收取固定</w:t>
      </w:r>
      <w:r>
        <w:rPr>
          <w:rFonts w:hint="eastAsia" w:ascii="宋体" w:hAnsi="宋体"/>
          <w:sz w:val="21"/>
          <w:szCs w:val="21"/>
          <w:highlight w:val="none"/>
        </w:rPr>
        <w:t>管理</w:t>
      </w:r>
      <w:r>
        <w:rPr>
          <w:rFonts w:ascii="宋体" w:hAnsi="宋体"/>
          <w:sz w:val="21"/>
          <w:szCs w:val="21"/>
          <w:highlight w:val="none"/>
        </w:rPr>
        <w:t>费而产生的纳税义务履行，不适用本条。</w:t>
      </w:r>
    </w:p>
    <w:p>
      <w:pPr>
        <w:spacing w:line="360" w:lineRule="auto"/>
        <w:ind w:firstLine="422" w:firstLineChars="200"/>
        <w:outlineLvl w:val="1"/>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十一、理财产品的认购</w:t>
      </w:r>
    </w:p>
    <w:p>
      <w:pPr>
        <w:widowControl/>
        <w:snapToGrid w:val="0"/>
        <w:spacing w:line="380" w:lineRule="atLeast"/>
        <w:ind w:firstLine="420" w:firstLineChars="200"/>
        <w:rPr>
          <w:rFonts w:ascii="宋体" w:hAnsi="宋体"/>
          <w:szCs w:val="21"/>
          <w:highlight w:val="none"/>
        </w:rPr>
      </w:pPr>
      <w:r>
        <w:rPr>
          <w:rFonts w:ascii="宋体" w:hAnsi="宋体"/>
          <w:szCs w:val="21"/>
          <w:highlight w:val="none"/>
        </w:rPr>
        <w:t>1.</w:t>
      </w:r>
      <w:r>
        <w:rPr>
          <w:rFonts w:hint="eastAsia" w:ascii="宋体" w:hAnsi="宋体"/>
          <w:szCs w:val="21"/>
          <w:highlight w:val="none"/>
        </w:rPr>
        <w:t>认购/撤销手续：投资者可通过代理销售机构和管理人认可的方式办理认购或撤销本理财产品份额，</w:t>
      </w:r>
      <w:r>
        <w:rPr>
          <w:rFonts w:hint="eastAsia" w:ascii="宋体" w:hAnsi="宋体" w:cs="宋体"/>
          <w:color w:val="000000"/>
          <w:szCs w:val="21"/>
          <w:highlight w:val="none"/>
          <w:lang w:bidi="ar"/>
        </w:rPr>
        <w:t>认购具体以产品管理人的确认结果为准，撤销具体以代理销售机构的确认结果为准。</w:t>
      </w:r>
    </w:p>
    <w:p>
      <w:pPr>
        <w:pStyle w:val="2"/>
        <w:snapToGrid w:val="0"/>
        <w:spacing w:line="380" w:lineRule="exact"/>
        <w:ind w:firstLine="420" w:firstLineChars="200"/>
        <w:rPr>
          <w:rFonts w:ascii="宋体" w:hAnsi="宋体"/>
          <w:sz w:val="21"/>
          <w:szCs w:val="21"/>
          <w:highlight w:val="none"/>
        </w:rPr>
      </w:pPr>
      <w:r>
        <w:rPr>
          <w:rFonts w:ascii="宋体" w:hAnsi="宋体"/>
          <w:sz w:val="21"/>
          <w:szCs w:val="21"/>
          <w:highlight w:val="none"/>
        </w:rPr>
        <w:t>2.</w:t>
      </w:r>
      <w:r>
        <w:rPr>
          <w:rFonts w:hint="eastAsia" w:ascii="宋体" w:hAnsi="宋体"/>
          <w:sz w:val="21"/>
          <w:szCs w:val="21"/>
          <w:highlight w:val="none"/>
        </w:rPr>
        <w:t>认购金额：在理财产品认购期内，投资者首次认购单笔最低限额、高于认购单笔最低限额的份额等规定，</w:t>
      </w:r>
      <w:r>
        <w:rPr>
          <w:rFonts w:hint="eastAsia" w:ascii="宋体" w:hAnsi="宋体" w:cs="宋体"/>
          <w:color w:val="000000"/>
          <w:sz w:val="21"/>
          <w:szCs w:val="21"/>
          <w:highlight w:val="none"/>
          <w:lang w:bidi="ar"/>
        </w:rPr>
        <w:t>详见前述“认（申）购起点”。</w:t>
      </w:r>
    </w:p>
    <w:p>
      <w:pPr>
        <w:pStyle w:val="2"/>
        <w:snapToGrid w:val="0"/>
        <w:spacing w:line="380" w:lineRule="exact"/>
        <w:ind w:firstLine="420" w:firstLineChars="200"/>
        <w:rPr>
          <w:rFonts w:ascii="宋体" w:hAnsi="宋体"/>
          <w:sz w:val="21"/>
          <w:szCs w:val="21"/>
          <w:highlight w:val="none"/>
        </w:rPr>
      </w:pPr>
      <w:r>
        <w:rPr>
          <w:rFonts w:ascii="宋体" w:hAnsi="宋体"/>
          <w:sz w:val="21"/>
          <w:szCs w:val="21"/>
          <w:highlight w:val="none"/>
        </w:rPr>
        <w:t>3.</w:t>
      </w:r>
      <w:r>
        <w:rPr>
          <w:rFonts w:hint="eastAsia" w:ascii="宋体" w:hAnsi="宋体"/>
          <w:sz w:val="21"/>
          <w:szCs w:val="21"/>
          <w:highlight w:val="none"/>
        </w:rPr>
        <w:t>在认购期内，投资者可多次认购，本理财产品累计认购份额达到</w:t>
      </w:r>
      <w:r>
        <w:rPr>
          <w:rFonts w:hint="eastAsia" w:ascii="宋体" w:hAnsi="宋体"/>
          <w:sz w:val="21"/>
          <w:szCs w:val="21"/>
          <w:highlight w:val="none"/>
          <w:lang w:val="en-US" w:eastAsia="zh-CN"/>
        </w:rPr>
        <w:t>认购</w:t>
      </w:r>
      <w:r>
        <w:rPr>
          <w:rFonts w:hint="eastAsia" w:ascii="宋体" w:hAnsi="宋体"/>
          <w:sz w:val="21"/>
          <w:szCs w:val="21"/>
          <w:highlight w:val="none"/>
        </w:rPr>
        <w:t>规模上限时，代理销售机构有权停止接受认购申请。</w:t>
      </w:r>
    </w:p>
    <w:p>
      <w:pPr>
        <w:pStyle w:val="2"/>
        <w:snapToGrid w:val="0"/>
        <w:spacing w:line="380" w:lineRule="exact"/>
        <w:ind w:firstLine="420" w:firstLineChars="200"/>
        <w:rPr>
          <w:rFonts w:ascii="宋体" w:hAnsi="宋体"/>
          <w:sz w:val="21"/>
          <w:szCs w:val="21"/>
          <w:highlight w:val="none"/>
        </w:rPr>
      </w:pPr>
      <w:r>
        <w:rPr>
          <w:rFonts w:ascii="宋体" w:hAnsi="宋体"/>
          <w:sz w:val="21"/>
          <w:szCs w:val="21"/>
          <w:highlight w:val="none"/>
        </w:rPr>
        <w:t>4.</w:t>
      </w:r>
      <w:r>
        <w:rPr>
          <w:rFonts w:hint="eastAsia" w:ascii="宋体" w:hAnsi="宋体"/>
          <w:sz w:val="21"/>
          <w:szCs w:val="21"/>
          <w:highlight w:val="none"/>
        </w:rPr>
        <w:t>认购方式及确认：</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w:t>
      </w:r>
      <w:r>
        <w:rPr>
          <w:rFonts w:ascii="宋体" w:hAnsi="宋体"/>
          <w:sz w:val="21"/>
          <w:szCs w:val="21"/>
          <w:highlight w:val="none"/>
        </w:rPr>
        <w:t>1</w:t>
      </w:r>
      <w:r>
        <w:rPr>
          <w:rFonts w:hint="eastAsia" w:ascii="宋体" w:hAnsi="宋体"/>
          <w:sz w:val="21"/>
          <w:szCs w:val="21"/>
          <w:highlight w:val="none"/>
        </w:rPr>
        <w:t>）本理财产品采取金额认购的方式；</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w:t>
      </w:r>
      <w:r>
        <w:rPr>
          <w:rFonts w:ascii="宋体" w:hAnsi="宋体"/>
          <w:sz w:val="21"/>
          <w:szCs w:val="21"/>
          <w:highlight w:val="none"/>
        </w:rPr>
        <w:t>2</w:t>
      </w:r>
      <w:r>
        <w:rPr>
          <w:rFonts w:hint="eastAsia" w:ascii="宋体" w:hAnsi="宋体"/>
          <w:sz w:val="21"/>
          <w:szCs w:val="21"/>
          <w:highlight w:val="none"/>
        </w:rPr>
        <w:t>）代理销售机构受理认购申请并不表示对该申请成功的确认，而仅代表其收到了认购申请，</w:t>
      </w:r>
      <w:r>
        <w:rPr>
          <w:rFonts w:hint="eastAsia" w:ascii="宋体" w:hAnsi="宋体"/>
          <w:b/>
          <w:bCs/>
          <w:sz w:val="21"/>
          <w:szCs w:val="21"/>
          <w:highlight w:val="none"/>
        </w:rPr>
        <w:t>申请是否成功应以产品管理人最终确认为准。</w:t>
      </w:r>
      <w:r>
        <w:rPr>
          <w:rFonts w:hint="eastAsia" w:ascii="宋体" w:hAnsi="宋体"/>
          <w:sz w:val="21"/>
          <w:szCs w:val="21"/>
          <w:highlight w:val="none"/>
        </w:rPr>
        <w:t>具体而言，投资者按规定提交认购申请、全额交付款项并经代理销售机构成功冻结或预扣的，认购申请成立；如管理人在认购登记日根据投资者的认购申请为投资者成功登记认购份额，则视为投资者的认购申请生效，并以管理人的登记记录为准。投资者应在本理财产品成立后及时查询最终成交确认情况及认购的份额；</w:t>
      </w:r>
    </w:p>
    <w:p>
      <w:pPr>
        <w:pStyle w:val="2"/>
        <w:snapToGrid w:val="0"/>
        <w:spacing w:line="380" w:lineRule="exact"/>
        <w:ind w:firstLine="420" w:firstLineChars="200"/>
        <w:rPr>
          <w:rFonts w:ascii="宋体" w:hAnsi="宋体"/>
          <w:sz w:val="21"/>
          <w:szCs w:val="15"/>
          <w:highlight w:val="none"/>
        </w:rPr>
      </w:pPr>
      <w:r>
        <w:rPr>
          <w:rFonts w:hint="eastAsia" w:ascii="宋体" w:hAnsi="宋体"/>
          <w:sz w:val="21"/>
          <w:szCs w:val="21"/>
          <w:highlight w:val="none"/>
        </w:rPr>
        <w:t>（</w:t>
      </w:r>
      <w:r>
        <w:rPr>
          <w:rFonts w:ascii="宋体" w:hAnsi="宋体"/>
          <w:sz w:val="21"/>
          <w:szCs w:val="21"/>
          <w:highlight w:val="none"/>
        </w:rPr>
        <w:t>3</w:t>
      </w:r>
      <w:r>
        <w:rPr>
          <w:rFonts w:hint="eastAsia" w:ascii="宋体" w:hAnsi="宋体"/>
          <w:sz w:val="21"/>
          <w:szCs w:val="21"/>
          <w:highlight w:val="none"/>
        </w:rPr>
        <w:t>）投资者在认购期内认购申请被受理后，代理销售机构有权冻结</w:t>
      </w:r>
      <w:r>
        <w:rPr>
          <w:rFonts w:hint="eastAsia" w:ascii="宋体" w:hAnsi="宋体"/>
          <w:sz w:val="21"/>
          <w:szCs w:val="15"/>
          <w:highlight w:val="none"/>
        </w:rPr>
        <w:t>认购款项，</w:t>
      </w:r>
      <w:r>
        <w:rPr>
          <w:rFonts w:hint="eastAsia" w:ascii="宋体" w:hAnsi="宋体"/>
          <w:b/>
          <w:bCs/>
          <w:sz w:val="21"/>
          <w:szCs w:val="15"/>
          <w:highlight w:val="none"/>
        </w:rPr>
        <w:t>冻结期间管理人不向投资者计付利息，认购期内认购资金是否计付利息以代理销售机构为准。</w:t>
      </w:r>
    </w:p>
    <w:p>
      <w:pPr>
        <w:pStyle w:val="2"/>
        <w:snapToGrid w:val="0"/>
        <w:spacing w:line="380" w:lineRule="exact"/>
        <w:ind w:firstLine="420" w:firstLineChars="200"/>
        <w:rPr>
          <w:rFonts w:ascii="宋体" w:hAnsi="宋体"/>
          <w:sz w:val="21"/>
          <w:szCs w:val="21"/>
          <w:highlight w:val="none"/>
        </w:rPr>
      </w:pPr>
      <w:r>
        <w:rPr>
          <w:rFonts w:ascii="宋体" w:hAnsi="宋体"/>
          <w:sz w:val="21"/>
          <w:szCs w:val="21"/>
          <w:highlight w:val="none"/>
        </w:rPr>
        <w:t>5</w:t>
      </w:r>
      <w:r>
        <w:rPr>
          <w:rFonts w:hint="eastAsia" w:ascii="宋体" w:hAnsi="宋体"/>
          <w:sz w:val="21"/>
          <w:szCs w:val="21"/>
          <w:highlight w:val="none"/>
        </w:rPr>
        <w:t>.单笔认购上限：</w:t>
      </w:r>
      <w:r>
        <w:rPr>
          <w:rFonts w:hint="eastAsia" w:ascii="宋体" w:hAnsi="宋体"/>
          <w:b/>
          <w:bCs/>
          <w:sz w:val="21"/>
          <w:szCs w:val="21"/>
          <w:highlight w:val="none"/>
        </w:rPr>
        <w:t>投资者单笔认购上限</w:t>
      </w:r>
      <w:r>
        <w:rPr>
          <w:rFonts w:hint="eastAsia" w:ascii="Calibri" w:hAnsi="Calibri" w:cs="Calibri"/>
          <w:b/>
          <w:bCs/>
          <w:color w:val="000000"/>
          <w:sz w:val="21"/>
          <w:szCs w:val="21"/>
          <w:highlight w:val="none"/>
        </w:rPr>
        <w:t>以代销机构规定为准</w:t>
      </w:r>
      <w:r>
        <w:rPr>
          <w:rFonts w:ascii="宋体" w:hAnsi="宋体"/>
          <w:b/>
          <w:bCs/>
          <w:sz w:val="21"/>
          <w:szCs w:val="21"/>
          <w:highlight w:val="none"/>
        </w:rPr>
        <w:t>，且应遵守单一投资者持有上限的限制，</w:t>
      </w:r>
      <w:r>
        <w:rPr>
          <w:rFonts w:hint="eastAsia" w:ascii="宋体" w:hAnsi="宋体"/>
          <w:b/>
          <w:bCs/>
          <w:sz w:val="21"/>
          <w:szCs w:val="21"/>
          <w:highlight w:val="none"/>
        </w:rPr>
        <w:t>产品管理人</w:t>
      </w:r>
      <w:r>
        <w:rPr>
          <w:rFonts w:ascii="宋体" w:hAnsi="宋体"/>
          <w:b/>
          <w:bCs/>
          <w:sz w:val="21"/>
          <w:szCs w:val="21"/>
          <w:highlight w:val="none"/>
        </w:rPr>
        <w:t>有权拒绝超限部分的申请。对于</w:t>
      </w:r>
      <w:r>
        <w:rPr>
          <w:rFonts w:hint="eastAsia" w:ascii="宋体" w:hAnsi="宋体"/>
          <w:b/>
          <w:bCs/>
          <w:sz w:val="21"/>
          <w:szCs w:val="21"/>
          <w:highlight w:val="none"/>
        </w:rPr>
        <w:t>产品管理人</w:t>
      </w:r>
      <w:r>
        <w:rPr>
          <w:rFonts w:ascii="宋体" w:hAnsi="宋体"/>
          <w:b/>
          <w:bCs/>
          <w:sz w:val="21"/>
          <w:szCs w:val="21"/>
          <w:highlight w:val="none"/>
        </w:rPr>
        <w:t>决定拒绝的认购申请，视为认购不成功。</w:t>
      </w:r>
    </w:p>
    <w:p>
      <w:pPr>
        <w:pStyle w:val="2"/>
        <w:snapToGrid w:val="0"/>
        <w:spacing w:line="380" w:lineRule="exact"/>
        <w:ind w:firstLine="420" w:firstLineChars="200"/>
        <w:rPr>
          <w:rFonts w:ascii="宋体" w:hAnsi="宋体"/>
          <w:sz w:val="21"/>
          <w:szCs w:val="21"/>
          <w:highlight w:val="none"/>
        </w:rPr>
      </w:pPr>
      <w:r>
        <w:rPr>
          <w:rFonts w:ascii="宋体" w:hAnsi="宋体"/>
          <w:sz w:val="21"/>
          <w:szCs w:val="21"/>
          <w:highlight w:val="none"/>
        </w:rPr>
        <w:t>6</w:t>
      </w:r>
      <w:r>
        <w:rPr>
          <w:rFonts w:hint="eastAsia" w:ascii="宋体" w:hAnsi="宋体"/>
          <w:sz w:val="21"/>
          <w:szCs w:val="21"/>
          <w:highlight w:val="none"/>
        </w:rPr>
        <w:t>.认购费：投资者认购本期理财产品无需支付认购费。</w:t>
      </w:r>
    </w:p>
    <w:p>
      <w:pPr>
        <w:pStyle w:val="2"/>
        <w:snapToGrid w:val="0"/>
        <w:spacing w:line="380" w:lineRule="exact"/>
        <w:ind w:firstLine="420" w:firstLineChars="200"/>
        <w:rPr>
          <w:rFonts w:ascii="宋体" w:hAnsi="宋体"/>
          <w:sz w:val="21"/>
          <w:szCs w:val="21"/>
          <w:highlight w:val="none"/>
        </w:rPr>
      </w:pPr>
      <w:r>
        <w:rPr>
          <w:rFonts w:ascii="宋体" w:hAnsi="宋体"/>
          <w:sz w:val="21"/>
          <w:szCs w:val="21"/>
          <w:highlight w:val="none"/>
        </w:rPr>
        <w:t>7</w:t>
      </w:r>
      <w:r>
        <w:rPr>
          <w:rFonts w:hint="eastAsia" w:ascii="宋体" w:hAnsi="宋体"/>
          <w:sz w:val="21"/>
          <w:szCs w:val="21"/>
          <w:highlight w:val="none"/>
        </w:rPr>
        <w:t>.认购份额的计算</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本理财产品认购份额的具体计算方法如下：</w:t>
      </w:r>
    </w:p>
    <w:p>
      <w:pPr>
        <w:pStyle w:val="2"/>
        <w:snapToGrid w:val="0"/>
        <w:spacing w:line="380" w:lineRule="exact"/>
        <w:ind w:firstLine="422" w:firstLineChars="200"/>
        <w:rPr>
          <w:rFonts w:ascii="宋体" w:hAnsi="宋体"/>
          <w:b/>
          <w:bCs/>
          <w:sz w:val="21"/>
          <w:szCs w:val="21"/>
          <w:highlight w:val="none"/>
        </w:rPr>
      </w:pPr>
      <w:r>
        <w:rPr>
          <w:rFonts w:hint="eastAsia" w:ascii="宋体" w:hAnsi="宋体"/>
          <w:b/>
          <w:bCs/>
          <w:sz w:val="21"/>
          <w:szCs w:val="21"/>
          <w:highlight w:val="none"/>
        </w:rPr>
        <w:t>认购份额＝认购金额÷本理财产品份额面值</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认购份额保留至小数点后2位（保留2位小数，2位小数点后四舍五入）。</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示例：假定某投资者投资100万元人民币认购本理财产品，则其可得到的认购份额计算如下：</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认购份额＝100万元人民币÷1.00元/份＝1,000,000.00份</w:t>
      </w:r>
    </w:p>
    <w:p>
      <w:pPr>
        <w:pStyle w:val="2"/>
        <w:snapToGrid w:val="0"/>
        <w:spacing w:line="380" w:lineRule="exact"/>
        <w:ind w:firstLine="420" w:firstLineChars="200"/>
        <w:rPr>
          <w:rFonts w:ascii="宋体" w:hAnsi="宋体"/>
          <w:sz w:val="21"/>
          <w:szCs w:val="21"/>
          <w:highlight w:val="none"/>
        </w:rPr>
      </w:pPr>
      <w:r>
        <w:rPr>
          <w:rFonts w:ascii="宋体" w:hAnsi="宋体"/>
          <w:sz w:val="21"/>
          <w:szCs w:val="21"/>
          <w:highlight w:val="none"/>
        </w:rPr>
        <w:t>8</w:t>
      </w:r>
      <w:r>
        <w:rPr>
          <w:rFonts w:hint="eastAsia" w:ascii="宋体" w:hAnsi="宋体"/>
          <w:sz w:val="21"/>
          <w:szCs w:val="21"/>
          <w:highlight w:val="none"/>
        </w:rPr>
        <w:t>.发售对象：本理财产品仅向依据中国有关法律法规及其他有关规定可以购买本理财产品的不特定社会公众。投资者可通过代理销售机构认可的方式办理认购、申购本理财产品。</w:t>
      </w:r>
    </w:p>
    <w:p>
      <w:pPr>
        <w:spacing w:line="360" w:lineRule="auto"/>
        <w:ind w:firstLine="422" w:firstLineChars="200"/>
        <w:outlineLvl w:val="1"/>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十二、理财产品的申购、赎回</w:t>
      </w:r>
    </w:p>
    <w:p>
      <w:pPr>
        <w:pStyle w:val="2"/>
        <w:snapToGrid w:val="0"/>
        <w:spacing w:line="380" w:lineRule="exact"/>
        <w:ind w:firstLine="422" w:firstLineChars="200"/>
        <w:rPr>
          <w:rFonts w:ascii="宋体" w:hAnsi="宋体"/>
          <w:b/>
          <w:bCs/>
          <w:sz w:val="21"/>
          <w:szCs w:val="21"/>
          <w:highlight w:val="none"/>
        </w:rPr>
      </w:pPr>
      <w:r>
        <w:rPr>
          <w:rFonts w:hint="eastAsia" w:ascii="宋体" w:hAnsi="宋体"/>
          <w:b/>
          <w:bCs/>
          <w:sz w:val="21"/>
          <w:szCs w:val="21"/>
          <w:highlight w:val="none"/>
        </w:rPr>
        <w:t>（一）申购、赎回原则</w:t>
      </w:r>
    </w:p>
    <w:p>
      <w:pPr>
        <w:pStyle w:val="2"/>
        <w:snapToGrid w:val="0"/>
        <w:spacing w:line="380" w:lineRule="exact"/>
        <w:ind w:firstLine="420" w:firstLineChars="200"/>
        <w:rPr>
          <w:rFonts w:ascii="宋体" w:hAnsi="宋体"/>
          <w:b/>
          <w:bCs/>
          <w:sz w:val="21"/>
          <w:szCs w:val="21"/>
          <w:highlight w:val="none"/>
        </w:rPr>
      </w:pPr>
      <w:r>
        <w:rPr>
          <w:rFonts w:hint="eastAsia" w:ascii="宋体" w:hAnsi="宋体"/>
          <w:sz w:val="21"/>
          <w:szCs w:val="21"/>
          <w:highlight w:val="none"/>
        </w:rPr>
        <w:t>1．</w:t>
      </w:r>
      <w:r>
        <w:rPr>
          <w:rFonts w:hint="eastAsia" w:ascii="宋体" w:hAnsi="宋体"/>
          <w:b/>
          <w:bCs/>
          <w:sz w:val="21"/>
          <w:szCs w:val="21"/>
          <w:highlight w:val="none"/>
        </w:rPr>
        <w:t>投资者赎回本理财产品时，产品管理人不承诺保证本金，也不承诺任何收益。</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2．投资者申购、赎回本理财产品时，采用“确定价”原则，即本理财产品申购和赎回价格为1元人民币1份。</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3．本理财产品采用“金额申购、份额赎回”的原则，即申购以金额申请，赎回以份额赎回。</w:t>
      </w:r>
    </w:p>
    <w:p>
      <w:pPr>
        <w:pStyle w:val="2"/>
        <w:snapToGrid w:val="0"/>
        <w:spacing w:line="380" w:lineRule="exact"/>
        <w:ind w:firstLine="420" w:firstLineChars="200"/>
        <w:rPr>
          <w:rFonts w:ascii="宋体" w:hAnsi="宋体"/>
          <w:b/>
          <w:bCs/>
          <w:sz w:val="21"/>
          <w:szCs w:val="21"/>
          <w:highlight w:val="none"/>
        </w:rPr>
      </w:pPr>
      <w:r>
        <w:rPr>
          <w:rFonts w:hint="eastAsia" w:ascii="宋体" w:hAnsi="宋体"/>
          <w:sz w:val="21"/>
          <w:szCs w:val="21"/>
          <w:highlight w:val="none"/>
        </w:rPr>
        <w:t>4．</w:t>
      </w:r>
      <w:r>
        <w:rPr>
          <w:rFonts w:hint="eastAsia" w:ascii="宋体" w:hAnsi="宋体"/>
          <w:b/>
          <w:bCs/>
          <w:sz w:val="21"/>
          <w:szCs w:val="21"/>
          <w:highlight w:val="none"/>
        </w:rPr>
        <w:t>因不可抗力导致理财产品无法继续申购或赎回时，代理销售机构有权拒绝或暂停接受投资者的申购或赎回的申请。</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5．投资者可于申购开放日内向代理销售机构提出申购申请，产品管理人按照“先申请、先申购”原则确认申购申请，如开放日内累计申购份额已达到产品规模上限，则代理销售机构及管理人有权拒绝超出产品规模上限部分的申购申请。</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6．投资者可于赎回开放日内向代理销售机构提出赎回申请，管理人按照“先进先出”原则确认赎回申请</w:t>
      </w:r>
      <w:r>
        <w:rPr>
          <w:rFonts w:hint="eastAsia" w:ascii="宋体" w:hAnsi="宋体" w:cs="宋体"/>
          <w:color w:val="000000"/>
          <w:sz w:val="21"/>
          <w:szCs w:val="21"/>
          <w:highlight w:val="none"/>
          <w:lang w:bidi="ar"/>
        </w:rPr>
        <w:t>，即按照理财产品份额持有人认购、申购的先后次序进行顺序赎回</w:t>
      </w:r>
      <w:r>
        <w:rPr>
          <w:rFonts w:hint="eastAsia" w:ascii="宋体" w:hAnsi="宋体"/>
          <w:sz w:val="21"/>
          <w:szCs w:val="21"/>
          <w:highlight w:val="none"/>
        </w:rPr>
        <w:t>。在发生巨额赎回时，管理人有权依照开放日内投资者赎回申请递交的顺序，依照时间优先（即“先申请、先赎回”）的原则确认投资者的赎回，或对赎回开放日内投资者的所有赎回申请，按照单个投资者当日申请赎回份额</w:t>
      </w:r>
      <w:r>
        <w:rPr>
          <w:rFonts w:hint="eastAsia" w:ascii="宋体" w:hAnsi="宋体"/>
          <w:sz w:val="21"/>
          <w:szCs w:val="21"/>
          <w:highlight w:val="none"/>
          <w:u w:val="dotted"/>
        </w:rPr>
        <w:t>占</w:t>
      </w:r>
      <w:r>
        <w:rPr>
          <w:rFonts w:hint="eastAsia" w:ascii="宋体" w:hAnsi="宋体"/>
          <w:sz w:val="21"/>
          <w:szCs w:val="21"/>
          <w:highlight w:val="none"/>
        </w:rPr>
        <w:t>当日申请赎回总份额的比例进行确认。代理销售机构及管理人有权拒绝或暂停超出巨额赎回申请部分的赎回申请。</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7．对于每一笔购买交易对应的理财产品份额，投资者可以选择赎回部分或全部理财产品份额。全部赎回理财产品份额后，投资者如需再次申购，则申购的金额不得低于人民币</w:t>
      </w:r>
      <w:r>
        <w:rPr>
          <w:rFonts w:hint="default" w:ascii="Times New Roman" w:hAnsi="Times New Roman" w:cs="Times New Roman"/>
          <w:sz w:val="21"/>
          <w:szCs w:val="21"/>
          <w:highlight w:val="none"/>
          <w:lang w:eastAsia="zh-CN"/>
        </w:rPr>
        <w:t>【</w:t>
      </w:r>
      <w:r>
        <w:rPr>
          <w:rFonts w:hint="default" w:ascii="Times New Roman" w:hAnsi="Times New Roman" w:eastAsia="宋体" w:cs="Times New Roman"/>
          <w:b/>
          <w:kern w:val="2"/>
          <w:sz w:val="21"/>
          <w:szCs w:val="21"/>
        </w:rPr>
        <w:t>10000</w:t>
      </w:r>
      <w:r>
        <w:rPr>
          <w:rFonts w:hint="default" w:ascii="Times New Roman" w:hAnsi="Times New Roman" w:cs="Times New Roman"/>
          <w:sz w:val="21"/>
          <w:szCs w:val="21"/>
          <w:highlight w:val="none"/>
          <w:lang w:eastAsia="zh-CN"/>
        </w:rPr>
        <w:t>】</w:t>
      </w:r>
      <w:r>
        <w:rPr>
          <w:rFonts w:hint="default" w:ascii="Times New Roman" w:hAnsi="Times New Roman" w:eastAsia="宋体" w:cs="Times New Roman"/>
          <w:b/>
          <w:kern w:val="2"/>
          <w:sz w:val="21"/>
          <w:szCs w:val="21"/>
        </w:rPr>
        <w:t>元，2022年9月22日起，按照</w:t>
      </w:r>
      <w:r>
        <w:rPr>
          <w:rFonts w:hint="default" w:ascii="Times New Roman" w:hAnsi="Times New Roman" w:cs="Times New Roman"/>
          <w:b/>
          <w:kern w:val="2"/>
          <w:sz w:val="21"/>
          <w:szCs w:val="21"/>
          <w:lang w:eastAsia="zh-CN"/>
        </w:rPr>
        <w:t>【</w:t>
      </w:r>
      <w:r>
        <w:rPr>
          <w:rFonts w:hint="default" w:ascii="Times New Roman" w:hAnsi="Times New Roman" w:eastAsia="宋体" w:cs="Times New Roman"/>
          <w:b/>
          <w:kern w:val="2"/>
          <w:sz w:val="21"/>
          <w:szCs w:val="21"/>
        </w:rPr>
        <w:t>1</w:t>
      </w:r>
      <w:r>
        <w:rPr>
          <w:rFonts w:hint="default" w:ascii="Times New Roman" w:hAnsi="Times New Roman" w:cs="Times New Roman"/>
          <w:b/>
          <w:kern w:val="2"/>
          <w:sz w:val="21"/>
          <w:szCs w:val="21"/>
          <w:lang w:eastAsia="zh-CN"/>
        </w:rPr>
        <w:t>】</w:t>
      </w:r>
      <w:r>
        <w:rPr>
          <w:rFonts w:hint="default" w:ascii="Times New Roman" w:hAnsi="Times New Roman" w:eastAsia="宋体" w:cs="Times New Roman"/>
          <w:b/>
          <w:kern w:val="2"/>
          <w:sz w:val="21"/>
          <w:szCs w:val="21"/>
        </w:rPr>
        <w:t>元执行</w:t>
      </w:r>
      <w:r>
        <w:rPr>
          <w:rFonts w:hint="default" w:ascii="Times New Roman" w:hAnsi="Times New Roman" w:eastAsia="宋体" w:cs="Times New Roman"/>
          <w:kern w:val="2"/>
          <w:sz w:val="21"/>
          <w:szCs w:val="21"/>
        </w:rPr>
        <w:t>。</w:t>
      </w:r>
      <w:r>
        <w:rPr>
          <w:rFonts w:hint="default" w:ascii="Times New Roman" w:hAnsi="Times New Roman" w:eastAsia="宋体" w:cs="Times New Roman"/>
          <w:b/>
          <w:kern w:val="2"/>
          <w:sz w:val="21"/>
          <w:szCs w:val="21"/>
        </w:rPr>
        <w:t>自2022年9月22日起，投资者可多次赎回，如赎回将导致投资者的理财产品份额余额不足</w:t>
      </w:r>
      <w:r>
        <w:rPr>
          <w:rFonts w:hint="default" w:ascii="Times New Roman" w:hAnsi="Times New Roman" w:cs="Times New Roman"/>
          <w:b/>
          <w:kern w:val="2"/>
          <w:sz w:val="21"/>
          <w:szCs w:val="21"/>
          <w:lang w:eastAsia="zh-CN"/>
        </w:rPr>
        <w:t>【</w:t>
      </w:r>
      <w:r>
        <w:rPr>
          <w:rFonts w:hint="default" w:ascii="Times New Roman" w:hAnsi="Times New Roman" w:cs="Times New Roman"/>
          <w:b/>
          <w:kern w:val="2"/>
          <w:sz w:val="21"/>
          <w:szCs w:val="21"/>
          <w:lang w:val="en-US" w:eastAsia="zh-CN"/>
        </w:rPr>
        <w:t>0.0</w:t>
      </w:r>
      <w:r>
        <w:rPr>
          <w:rFonts w:hint="default" w:ascii="Times New Roman" w:hAnsi="Times New Roman" w:eastAsia="宋体" w:cs="Times New Roman"/>
          <w:b/>
          <w:kern w:val="2"/>
          <w:sz w:val="21"/>
          <w:szCs w:val="21"/>
        </w:rPr>
        <w:t>1</w:t>
      </w:r>
      <w:r>
        <w:rPr>
          <w:rFonts w:hint="default" w:ascii="Times New Roman" w:hAnsi="Times New Roman" w:cs="Times New Roman"/>
          <w:b/>
          <w:kern w:val="2"/>
          <w:sz w:val="21"/>
          <w:szCs w:val="21"/>
          <w:lang w:eastAsia="zh-CN"/>
        </w:rPr>
        <w:t>】</w:t>
      </w:r>
      <w:r>
        <w:rPr>
          <w:rFonts w:hint="default" w:ascii="Times New Roman" w:hAnsi="Times New Roman" w:eastAsia="宋体" w:cs="Times New Roman"/>
          <w:b/>
          <w:kern w:val="2"/>
          <w:sz w:val="21"/>
          <w:szCs w:val="21"/>
        </w:rPr>
        <w:t>份时，投资者须将剩余份额一次性全额赎回。</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8．代理销售机构受理投资者于开放日提出的申购/赎回申请，并不表示对该申请成功的确认，而仅代表代理销售机构收到了申请，申请是否生效应以产品管理人于申购/赎回确认日的确认为准。具体而言，投资者按规定提交申购申请、全额交付款项并经代理销售机构成功冻结或预扣的，申购申请成立；如管理人在申购/赎回确认日根据投资者的申购/赎回申请为投资者成功登记申购/赎回份额，则视为投资者的申购/赎回申请生效，并以产品管理人的登记记录为准。</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9．投资者在开放日内提交的申购/赎回申请（快速赎回除外），在北京时间当日17:00之前可以撤销。</w:t>
      </w:r>
      <w:bookmarkStart w:id="6" w:name="_Hlk113581240"/>
      <w:r>
        <w:rPr>
          <w:rFonts w:hint="eastAsia" w:ascii="宋体" w:hAnsi="宋体" w:cs="宋体"/>
          <w:color w:val="000000"/>
          <w:sz w:val="21"/>
          <w:szCs w:val="21"/>
          <w:highlight w:val="none"/>
          <w:lang w:bidi="ar"/>
        </w:rPr>
        <w:t>代理销售机构实际受理时间可能与本理财产品说明书不一致，具体以代理销售机构通知为准。</w:t>
      </w:r>
      <w:bookmarkEnd w:id="6"/>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10．开放日内投资者可多次申购，申购金额应遵守单一投资者持有上限和发行规模限制。单笔申购上限：投资者单笔申购上限</w:t>
      </w:r>
      <w:r>
        <w:rPr>
          <w:rFonts w:hint="eastAsia" w:ascii="Calibri" w:hAnsi="Calibri" w:cs="Calibri"/>
          <w:b/>
          <w:bCs/>
          <w:color w:val="000000"/>
          <w:sz w:val="21"/>
          <w:szCs w:val="21"/>
          <w:highlight w:val="none"/>
        </w:rPr>
        <w:t>以代销机构规定为准</w:t>
      </w:r>
      <w:r>
        <w:rPr>
          <w:rFonts w:hint="eastAsia" w:ascii="宋体" w:hAnsi="宋体"/>
          <w:sz w:val="21"/>
          <w:szCs w:val="21"/>
          <w:highlight w:val="none"/>
        </w:rPr>
        <w:t>，且应遵守单一投资者持有上限的限制，产品管理人有权拒绝超</w:t>
      </w:r>
      <w:r>
        <w:rPr>
          <w:rFonts w:hint="eastAsia" w:ascii="宋体" w:hAnsi="宋体" w:cs="宋体"/>
          <w:color w:val="000000"/>
          <w:sz w:val="21"/>
          <w:szCs w:val="21"/>
          <w:highlight w:val="none"/>
          <w:lang w:bidi="ar"/>
        </w:rPr>
        <w:t>出单一投资者持有上</w:t>
      </w:r>
      <w:r>
        <w:rPr>
          <w:rFonts w:hint="eastAsia" w:ascii="宋体" w:hAnsi="宋体"/>
          <w:sz w:val="21"/>
          <w:szCs w:val="21"/>
          <w:highlight w:val="none"/>
        </w:rPr>
        <w:t>限部分的申购申请。对于产品管理人决定拒绝的申购申请，视为申购不成功。</w:t>
      </w:r>
    </w:p>
    <w:p>
      <w:pPr>
        <w:pStyle w:val="2"/>
        <w:snapToGrid w:val="0"/>
        <w:spacing w:line="380" w:lineRule="exact"/>
        <w:ind w:firstLine="422" w:firstLineChars="200"/>
        <w:rPr>
          <w:rFonts w:ascii="宋体" w:hAnsi="宋体"/>
          <w:b/>
          <w:bCs/>
          <w:sz w:val="21"/>
          <w:szCs w:val="21"/>
          <w:highlight w:val="none"/>
        </w:rPr>
      </w:pPr>
      <w:r>
        <w:rPr>
          <w:rFonts w:hint="eastAsia" w:ascii="宋体" w:hAnsi="宋体"/>
          <w:b/>
          <w:bCs/>
          <w:sz w:val="21"/>
          <w:szCs w:val="21"/>
          <w:highlight w:val="none"/>
        </w:rPr>
        <w:t>（二）申购、赎回程序</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1</w:t>
      </w:r>
      <w:r>
        <w:rPr>
          <w:rFonts w:ascii="宋体" w:hAnsi="宋体"/>
          <w:sz w:val="21"/>
          <w:szCs w:val="21"/>
          <w:highlight w:val="none"/>
        </w:rPr>
        <w:t>.</w:t>
      </w:r>
      <w:r>
        <w:rPr>
          <w:rFonts w:hint="eastAsia" w:ascii="宋体" w:hAnsi="宋体"/>
          <w:sz w:val="21"/>
          <w:szCs w:val="21"/>
          <w:highlight w:val="none"/>
        </w:rPr>
        <w:t>理财产品申购</w:t>
      </w:r>
    </w:p>
    <w:p>
      <w:pPr>
        <w:widowControl/>
        <w:snapToGrid w:val="0"/>
        <w:spacing w:line="380" w:lineRule="atLeast"/>
        <w:ind w:firstLine="420" w:firstLineChars="200"/>
        <w:rPr>
          <w:rFonts w:ascii="宋体" w:hAnsi="宋体"/>
          <w:b/>
          <w:bCs/>
          <w:szCs w:val="21"/>
          <w:highlight w:val="none"/>
        </w:rPr>
      </w:pPr>
      <w:r>
        <w:rPr>
          <w:rFonts w:hint="eastAsia" w:ascii="宋体" w:hAnsi="宋体"/>
          <w:szCs w:val="21"/>
          <w:highlight w:val="none"/>
        </w:rPr>
        <w:t>本产品存续期内</w:t>
      </w:r>
      <w:r>
        <w:rPr>
          <w:rFonts w:ascii="宋体" w:hAnsi="宋体"/>
          <w:szCs w:val="21"/>
          <w:highlight w:val="none"/>
        </w:rPr>
        <w:t>任意时间</w:t>
      </w:r>
      <w:r>
        <w:rPr>
          <w:rFonts w:hint="eastAsia" w:ascii="宋体" w:hAnsi="宋体"/>
          <w:szCs w:val="21"/>
          <w:highlight w:val="none"/>
        </w:rPr>
        <w:t>，投资者可以</w:t>
      </w:r>
      <w:r>
        <w:rPr>
          <w:rFonts w:ascii="宋体" w:hAnsi="宋体"/>
          <w:szCs w:val="21"/>
          <w:highlight w:val="none"/>
        </w:rPr>
        <w:t>提出</w:t>
      </w:r>
      <w:r>
        <w:rPr>
          <w:rFonts w:hint="eastAsia" w:ascii="宋体" w:hAnsi="宋体"/>
          <w:szCs w:val="21"/>
          <w:highlight w:val="none"/>
        </w:rPr>
        <w:t>申购本产品</w:t>
      </w:r>
      <w:r>
        <w:rPr>
          <w:rFonts w:ascii="宋体" w:hAnsi="宋体"/>
          <w:szCs w:val="21"/>
          <w:highlight w:val="none"/>
        </w:rPr>
        <w:t>的申请</w:t>
      </w:r>
      <w:r>
        <w:rPr>
          <w:rFonts w:hint="eastAsia" w:ascii="宋体" w:hAnsi="宋体"/>
          <w:szCs w:val="21"/>
          <w:highlight w:val="none"/>
        </w:rPr>
        <w:t>。</w:t>
      </w:r>
      <w:r>
        <w:rPr>
          <w:rFonts w:hint="eastAsia" w:ascii="宋体" w:hAnsi="宋体"/>
          <w:b/>
          <w:bCs/>
          <w:szCs w:val="21"/>
          <w:highlight w:val="none"/>
        </w:rPr>
        <w:t>其中每个工作日的</w:t>
      </w:r>
      <w:bookmarkStart w:id="7" w:name="_Hlk134232693"/>
      <w:r>
        <w:rPr>
          <w:rFonts w:hint="eastAsia" w:ascii="宋体" w:hAnsi="宋体"/>
          <w:b/>
          <w:bCs/>
          <w:szCs w:val="21"/>
          <w:highlight w:val="none"/>
        </w:rPr>
        <w:t>9</w:t>
      </w:r>
      <w:r>
        <w:rPr>
          <w:rFonts w:ascii="宋体" w:hAnsi="宋体"/>
          <w:b/>
          <w:bCs/>
          <w:szCs w:val="21"/>
          <w:highlight w:val="none"/>
        </w:rPr>
        <w:t>:</w:t>
      </w:r>
      <w:r>
        <w:rPr>
          <w:rFonts w:hint="eastAsia" w:ascii="宋体" w:hAnsi="宋体"/>
          <w:b/>
          <w:bCs/>
          <w:szCs w:val="21"/>
          <w:highlight w:val="none"/>
        </w:rPr>
        <w:t>00</w:t>
      </w:r>
      <w:r>
        <w:rPr>
          <w:rFonts w:ascii="宋体" w:hAnsi="宋体"/>
          <w:b/>
          <w:bCs/>
          <w:szCs w:val="21"/>
          <w:highlight w:val="none"/>
        </w:rPr>
        <w:t>-</w:t>
      </w:r>
      <w:bookmarkEnd w:id="7"/>
      <w:r>
        <w:rPr>
          <w:rFonts w:hint="eastAsia" w:ascii="宋体" w:hAnsi="宋体"/>
          <w:b/>
          <w:bCs/>
          <w:szCs w:val="21"/>
          <w:highlight w:val="none"/>
        </w:rPr>
        <w:t>15</w:t>
      </w:r>
      <w:r>
        <w:rPr>
          <w:rFonts w:ascii="宋体" w:hAnsi="宋体"/>
          <w:b/>
          <w:bCs/>
          <w:szCs w:val="21"/>
          <w:highlight w:val="none"/>
        </w:rPr>
        <w:t>:</w:t>
      </w:r>
      <w:r>
        <w:rPr>
          <w:rFonts w:hint="eastAsia" w:ascii="宋体" w:hAnsi="宋体"/>
          <w:b/>
          <w:bCs/>
          <w:szCs w:val="21"/>
          <w:highlight w:val="none"/>
        </w:rPr>
        <w:t>15</w:t>
      </w:r>
      <w:r>
        <w:rPr>
          <w:rFonts w:ascii="宋体" w:hAnsi="宋体"/>
          <w:b/>
          <w:bCs/>
          <w:szCs w:val="21"/>
          <w:highlight w:val="none"/>
        </w:rPr>
        <w:t>（不含）为交易时段，其它时间为非交易时段。</w:t>
      </w:r>
      <w:r>
        <w:rPr>
          <w:rFonts w:hint="eastAsia" w:ascii="宋体" w:hAnsi="宋体" w:cs="宋体"/>
          <w:color w:val="000000"/>
          <w:szCs w:val="21"/>
          <w:highlight w:val="none"/>
          <w:lang w:bidi="ar"/>
        </w:rPr>
        <w:t>投资者在提交申购申请时，须备足申购资金。投资者的申购申请被受理后，代理销售机构有权冻结人民币资金形式的申购款项，</w:t>
      </w:r>
      <w:r>
        <w:rPr>
          <w:rFonts w:hint="eastAsia" w:ascii="宋体" w:hAnsi="宋体" w:cs="宋体"/>
          <w:b/>
          <w:bCs/>
          <w:color w:val="000000"/>
          <w:szCs w:val="21"/>
          <w:highlight w:val="none"/>
          <w:lang w:bidi="ar"/>
        </w:rPr>
        <w:t>冻结期间管理人不向投资者计付利息，是否计付利息以代理销售机构为准。</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（1）申购受理</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1）工作日（T日）</w:t>
      </w:r>
      <w:r>
        <w:rPr>
          <w:rFonts w:ascii="宋体" w:hAnsi="宋体"/>
          <w:sz w:val="21"/>
          <w:szCs w:val="21"/>
          <w:highlight w:val="none"/>
        </w:rPr>
        <w:t>9</w:t>
      </w:r>
      <w:r>
        <w:rPr>
          <w:rFonts w:hint="eastAsia" w:ascii="宋体" w:hAnsi="宋体"/>
          <w:sz w:val="21"/>
          <w:szCs w:val="21"/>
          <w:highlight w:val="none"/>
        </w:rPr>
        <w:t>:00-15:15（不含）发生的申购，将在当日的交易时段进行受理,在T日后第1个工作日进行有效性确认。该申购申请于T日17:00（不含）前可以撤销；</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2）工作日（T日）15:15-T+</w:t>
      </w:r>
      <w:r>
        <w:rPr>
          <w:rFonts w:ascii="宋体" w:hAnsi="宋体"/>
          <w:sz w:val="21"/>
          <w:szCs w:val="21"/>
          <w:highlight w:val="none"/>
        </w:rPr>
        <w:t>1</w:t>
      </w:r>
      <w:r>
        <w:rPr>
          <w:rFonts w:hint="eastAsia" w:ascii="宋体" w:hAnsi="宋体"/>
          <w:sz w:val="21"/>
          <w:szCs w:val="21"/>
          <w:highlight w:val="none"/>
        </w:rPr>
        <w:t>日9:</w:t>
      </w:r>
      <w:r>
        <w:rPr>
          <w:rFonts w:ascii="宋体" w:hAnsi="宋体"/>
          <w:sz w:val="21"/>
          <w:szCs w:val="21"/>
          <w:highlight w:val="none"/>
        </w:rPr>
        <w:t>00</w:t>
      </w:r>
      <w:r>
        <w:rPr>
          <w:rFonts w:hint="eastAsia" w:ascii="宋体" w:hAnsi="宋体"/>
          <w:sz w:val="21"/>
          <w:szCs w:val="21"/>
          <w:highlight w:val="none"/>
        </w:rPr>
        <w:t>（不含）发生的申购为预受理状态，将在T日后第2个工作日（T+</w:t>
      </w:r>
      <w:r>
        <w:rPr>
          <w:rFonts w:ascii="宋体" w:hAnsi="宋体"/>
          <w:sz w:val="21"/>
          <w:szCs w:val="21"/>
          <w:highlight w:val="none"/>
        </w:rPr>
        <w:t>2</w:t>
      </w:r>
      <w:r>
        <w:rPr>
          <w:rFonts w:hint="eastAsia" w:ascii="宋体" w:hAnsi="宋体"/>
          <w:sz w:val="21"/>
          <w:szCs w:val="21"/>
          <w:highlight w:val="none"/>
        </w:rPr>
        <w:t>日）进行有效性确认，并登记份额。该申购申请于T日后第1个工作日17:00（不含）前可以撤销；</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3）节假日及其他非工作日发生的申购为预受理状态，将在节假日或其他非工作日后第2个工作日的交易时段进行有效性确认，并登记份额。该申购申请于T日后第1个工作日17:00（不含）前可以撤销。</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（2）申购份数保留至小数点后2位（保留2位小数，小数点2位以后四舍五入）。</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（3）产品存续期内任一交易日，若本产品实时余额达到本产品规模上限，产品管理人有权拒绝超过本产品规模上限部分的申购申请。</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2</w:t>
      </w:r>
      <w:r>
        <w:rPr>
          <w:rFonts w:ascii="宋体" w:hAnsi="宋体"/>
          <w:sz w:val="21"/>
          <w:szCs w:val="21"/>
          <w:highlight w:val="none"/>
        </w:rPr>
        <w:t>.</w:t>
      </w:r>
      <w:r>
        <w:rPr>
          <w:rFonts w:hint="eastAsia" w:ascii="宋体" w:hAnsi="宋体"/>
          <w:sz w:val="21"/>
          <w:szCs w:val="21"/>
          <w:highlight w:val="none"/>
        </w:rPr>
        <w:t>理财产品赎回</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本产品存续期内</w:t>
      </w:r>
      <w:r>
        <w:rPr>
          <w:rFonts w:ascii="宋体" w:hAnsi="宋体"/>
          <w:sz w:val="21"/>
          <w:szCs w:val="21"/>
          <w:highlight w:val="none"/>
        </w:rPr>
        <w:t>任意时间</w:t>
      </w:r>
      <w:r>
        <w:rPr>
          <w:rFonts w:hint="eastAsia" w:ascii="宋体" w:hAnsi="宋体"/>
          <w:sz w:val="21"/>
          <w:szCs w:val="21"/>
          <w:highlight w:val="none"/>
        </w:rPr>
        <w:t>，投资者可以</w:t>
      </w:r>
      <w:r>
        <w:rPr>
          <w:rFonts w:ascii="宋体" w:hAnsi="宋体"/>
          <w:sz w:val="21"/>
          <w:szCs w:val="21"/>
          <w:highlight w:val="none"/>
        </w:rPr>
        <w:t>提出</w:t>
      </w:r>
      <w:r>
        <w:rPr>
          <w:rFonts w:hint="eastAsia" w:ascii="宋体" w:hAnsi="宋体"/>
          <w:sz w:val="21"/>
          <w:szCs w:val="21"/>
          <w:highlight w:val="none"/>
        </w:rPr>
        <w:t>赎回本产品</w:t>
      </w:r>
      <w:r>
        <w:rPr>
          <w:rFonts w:ascii="宋体" w:hAnsi="宋体"/>
          <w:sz w:val="21"/>
          <w:szCs w:val="21"/>
          <w:highlight w:val="none"/>
        </w:rPr>
        <w:t>的申请</w:t>
      </w:r>
      <w:r>
        <w:rPr>
          <w:rFonts w:hint="eastAsia" w:ascii="宋体" w:hAnsi="宋体"/>
          <w:sz w:val="21"/>
          <w:szCs w:val="21"/>
          <w:highlight w:val="none"/>
        </w:rPr>
        <w:t>。</w:t>
      </w:r>
      <w:r>
        <w:rPr>
          <w:rFonts w:hint="eastAsia" w:ascii="宋体" w:hAnsi="宋体" w:cs="宋体"/>
          <w:b/>
          <w:bCs/>
          <w:sz w:val="21"/>
          <w:szCs w:val="21"/>
          <w:highlight w:val="none"/>
        </w:rPr>
        <w:t>其中每个工作日的</w:t>
      </w:r>
      <w:r>
        <w:rPr>
          <w:rFonts w:ascii="宋体" w:hAnsi="宋体" w:cs="宋体"/>
          <w:b/>
          <w:bCs/>
          <w:sz w:val="21"/>
          <w:szCs w:val="21"/>
          <w:highlight w:val="none"/>
        </w:rPr>
        <w:t>9:00-15:</w:t>
      </w:r>
      <w:r>
        <w:rPr>
          <w:rFonts w:hint="eastAsia" w:ascii="宋体" w:hAnsi="宋体" w:cs="宋体"/>
          <w:b/>
          <w:bCs/>
          <w:sz w:val="21"/>
          <w:szCs w:val="21"/>
          <w:highlight w:val="none"/>
        </w:rPr>
        <w:t>15</w:t>
      </w:r>
      <w:r>
        <w:rPr>
          <w:rFonts w:ascii="宋体" w:hAnsi="宋体" w:cs="宋体"/>
          <w:b/>
          <w:bCs/>
          <w:sz w:val="21"/>
          <w:szCs w:val="21"/>
          <w:highlight w:val="none"/>
        </w:rPr>
        <w:t>（不含）为交易时段，其它时间为非交易时段。</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（1）</w:t>
      </w:r>
      <w:r>
        <w:rPr>
          <w:rFonts w:ascii="宋体" w:hAnsi="宋体"/>
          <w:sz w:val="21"/>
          <w:szCs w:val="21"/>
          <w:highlight w:val="none"/>
        </w:rPr>
        <w:t>普通赎回</w:t>
      </w:r>
    </w:p>
    <w:p>
      <w:pPr>
        <w:pStyle w:val="2"/>
        <w:snapToGrid w:val="0"/>
        <w:spacing w:line="380" w:lineRule="exact"/>
        <w:ind w:firstLine="420" w:firstLineChars="200"/>
        <w:rPr>
          <w:rFonts w:ascii="宋体" w:hAnsi="宋体"/>
          <w:sz w:val="21"/>
          <w:szCs w:val="21"/>
          <w:highlight w:val="none"/>
        </w:rPr>
      </w:pPr>
      <w:r>
        <w:rPr>
          <w:rFonts w:ascii="宋体" w:hAnsi="宋体"/>
          <w:sz w:val="21"/>
          <w:szCs w:val="21"/>
          <w:highlight w:val="none"/>
        </w:rPr>
        <w:t>1</w:t>
      </w:r>
      <w:r>
        <w:rPr>
          <w:rFonts w:hint="eastAsia" w:ascii="宋体" w:hAnsi="宋体"/>
          <w:sz w:val="21"/>
          <w:szCs w:val="21"/>
          <w:highlight w:val="none"/>
        </w:rPr>
        <w:t>）工作日（</w:t>
      </w:r>
      <w:r>
        <w:rPr>
          <w:rFonts w:ascii="宋体" w:hAnsi="宋体"/>
          <w:sz w:val="21"/>
          <w:szCs w:val="21"/>
          <w:highlight w:val="none"/>
        </w:rPr>
        <w:t>T</w:t>
      </w:r>
      <w:r>
        <w:rPr>
          <w:rFonts w:hint="eastAsia" w:ascii="宋体" w:hAnsi="宋体"/>
          <w:sz w:val="21"/>
          <w:szCs w:val="21"/>
          <w:highlight w:val="none"/>
        </w:rPr>
        <w:t>日）</w:t>
      </w:r>
      <w:r>
        <w:rPr>
          <w:rFonts w:ascii="宋体" w:hAnsi="宋体"/>
          <w:sz w:val="21"/>
          <w:szCs w:val="21"/>
          <w:highlight w:val="none"/>
        </w:rPr>
        <w:t>9</w:t>
      </w:r>
      <w:r>
        <w:rPr>
          <w:rFonts w:hint="eastAsia" w:ascii="宋体" w:hAnsi="宋体"/>
          <w:sz w:val="21"/>
          <w:szCs w:val="21"/>
          <w:highlight w:val="none"/>
        </w:rPr>
        <w:t>:00-15:15（不含）发生的普通赎回，将于当日的交易时段进行受理，</w:t>
      </w:r>
      <w:r>
        <w:rPr>
          <w:rFonts w:ascii="宋体" w:hAnsi="宋体"/>
          <w:sz w:val="21"/>
          <w:szCs w:val="21"/>
          <w:highlight w:val="none"/>
        </w:rPr>
        <w:t>T</w:t>
      </w:r>
      <w:r>
        <w:rPr>
          <w:rFonts w:hint="eastAsia" w:ascii="宋体" w:hAnsi="宋体"/>
          <w:sz w:val="21"/>
          <w:szCs w:val="21"/>
          <w:highlight w:val="none"/>
        </w:rPr>
        <w:t>日后第</w:t>
      </w:r>
      <w:r>
        <w:rPr>
          <w:rFonts w:ascii="宋体" w:hAnsi="宋体"/>
          <w:sz w:val="21"/>
          <w:szCs w:val="21"/>
          <w:highlight w:val="none"/>
        </w:rPr>
        <w:t>1</w:t>
      </w:r>
      <w:r>
        <w:rPr>
          <w:rFonts w:hint="eastAsia" w:ascii="宋体" w:hAnsi="宋体"/>
          <w:sz w:val="21"/>
          <w:szCs w:val="21"/>
          <w:highlight w:val="none"/>
        </w:rPr>
        <w:t>个工作日进行确认并划转资金，该赎回申请于</w:t>
      </w:r>
      <w:r>
        <w:rPr>
          <w:rFonts w:ascii="宋体" w:hAnsi="宋体"/>
          <w:sz w:val="21"/>
          <w:szCs w:val="21"/>
          <w:highlight w:val="none"/>
        </w:rPr>
        <w:t>T</w:t>
      </w:r>
      <w:r>
        <w:rPr>
          <w:rFonts w:hint="eastAsia" w:ascii="宋体" w:hAnsi="宋体"/>
          <w:sz w:val="21"/>
          <w:szCs w:val="21"/>
          <w:highlight w:val="none"/>
        </w:rPr>
        <w:t>日17:00前可以撤销；</w:t>
      </w:r>
    </w:p>
    <w:p>
      <w:pPr>
        <w:pStyle w:val="2"/>
        <w:snapToGrid w:val="0"/>
        <w:spacing w:line="380" w:lineRule="exact"/>
        <w:ind w:firstLine="420" w:firstLineChars="200"/>
        <w:rPr>
          <w:rFonts w:ascii="宋体" w:hAnsi="宋体"/>
          <w:sz w:val="21"/>
          <w:szCs w:val="21"/>
          <w:highlight w:val="none"/>
        </w:rPr>
      </w:pPr>
      <w:r>
        <w:rPr>
          <w:rFonts w:ascii="宋体" w:hAnsi="宋体"/>
          <w:sz w:val="21"/>
          <w:szCs w:val="21"/>
          <w:highlight w:val="none"/>
        </w:rPr>
        <w:t>2</w:t>
      </w:r>
      <w:r>
        <w:rPr>
          <w:rFonts w:hint="eastAsia" w:ascii="宋体" w:hAnsi="宋体"/>
          <w:sz w:val="21"/>
          <w:szCs w:val="21"/>
          <w:highlight w:val="none"/>
        </w:rPr>
        <w:t>）工作日（</w:t>
      </w:r>
      <w:r>
        <w:rPr>
          <w:rFonts w:ascii="宋体" w:hAnsi="宋体"/>
          <w:sz w:val="21"/>
          <w:szCs w:val="21"/>
          <w:highlight w:val="none"/>
        </w:rPr>
        <w:t>T</w:t>
      </w:r>
      <w:r>
        <w:rPr>
          <w:rFonts w:hint="eastAsia" w:ascii="宋体" w:hAnsi="宋体"/>
          <w:sz w:val="21"/>
          <w:szCs w:val="21"/>
          <w:highlight w:val="none"/>
        </w:rPr>
        <w:t>日）</w:t>
      </w:r>
      <w:r>
        <w:rPr>
          <w:rFonts w:ascii="宋体" w:hAnsi="宋体"/>
          <w:sz w:val="21"/>
          <w:szCs w:val="21"/>
          <w:highlight w:val="none"/>
        </w:rPr>
        <w:t>15</w:t>
      </w:r>
      <w:r>
        <w:rPr>
          <w:rFonts w:hint="eastAsia" w:ascii="宋体" w:hAnsi="宋体"/>
          <w:sz w:val="21"/>
          <w:szCs w:val="21"/>
          <w:highlight w:val="none"/>
        </w:rPr>
        <w:t>:15</w:t>
      </w:r>
      <w:r>
        <w:rPr>
          <w:rFonts w:ascii="宋体" w:hAnsi="宋体"/>
          <w:sz w:val="21"/>
          <w:szCs w:val="21"/>
          <w:highlight w:val="none"/>
        </w:rPr>
        <w:t>-</w:t>
      </w:r>
      <w:r>
        <w:rPr>
          <w:rFonts w:hint="eastAsia" w:ascii="宋体" w:hAnsi="宋体"/>
          <w:sz w:val="21"/>
          <w:szCs w:val="21"/>
          <w:highlight w:val="none"/>
        </w:rPr>
        <w:t>T+</w:t>
      </w:r>
      <w:r>
        <w:rPr>
          <w:rFonts w:ascii="宋体" w:hAnsi="宋体"/>
          <w:sz w:val="21"/>
          <w:szCs w:val="21"/>
          <w:highlight w:val="none"/>
        </w:rPr>
        <w:t>1</w:t>
      </w:r>
      <w:r>
        <w:rPr>
          <w:rFonts w:hint="eastAsia" w:ascii="宋体" w:hAnsi="宋体"/>
          <w:sz w:val="21"/>
          <w:szCs w:val="21"/>
          <w:highlight w:val="none"/>
        </w:rPr>
        <w:t>日9:</w:t>
      </w:r>
      <w:r>
        <w:rPr>
          <w:rFonts w:ascii="宋体" w:hAnsi="宋体"/>
          <w:sz w:val="21"/>
          <w:szCs w:val="21"/>
          <w:highlight w:val="none"/>
        </w:rPr>
        <w:t>00</w:t>
      </w:r>
      <w:r>
        <w:rPr>
          <w:rFonts w:hint="eastAsia" w:ascii="宋体" w:hAnsi="宋体"/>
          <w:sz w:val="21"/>
          <w:szCs w:val="21"/>
          <w:highlight w:val="none"/>
        </w:rPr>
        <w:t>（不含）发生的普通赎回为预受理状态，投资者</w:t>
      </w:r>
      <w:r>
        <w:rPr>
          <w:rFonts w:ascii="宋体" w:hAnsi="宋体"/>
          <w:sz w:val="21"/>
          <w:szCs w:val="21"/>
          <w:highlight w:val="none"/>
        </w:rPr>
        <w:t>T</w:t>
      </w:r>
      <w:r>
        <w:rPr>
          <w:rFonts w:hint="eastAsia" w:ascii="宋体" w:hAnsi="宋体"/>
          <w:sz w:val="21"/>
          <w:szCs w:val="21"/>
          <w:highlight w:val="none"/>
        </w:rPr>
        <w:t>日持有的理财产品份额将于</w:t>
      </w:r>
      <w:r>
        <w:rPr>
          <w:rFonts w:ascii="宋体" w:hAnsi="宋体"/>
          <w:sz w:val="21"/>
          <w:szCs w:val="21"/>
          <w:highlight w:val="none"/>
        </w:rPr>
        <w:t>T</w:t>
      </w:r>
      <w:r>
        <w:rPr>
          <w:rFonts w:hint="eastAsia" w:ascii="宋体" w:hAnsi="宋体"/>
          <w:sz w:val="21"/>
          <w:szCs w:val="21"/>
          <w:highlight w:val="none"/>
        </w:rPr>
        <w:t>日后第</w:t>
      </w:r>
      <w:r>
        <w:rPr>
          <w:rFonts w:ascii="宋体" w:hAnsi="宋体"/>
          <w:sz w:val="21"/>
          <w:szCs w:val="21"/>
          <w:highlight w:val="none"/>
        </w:rPr>
        <w:t>2</w:t>
      </w:r>
      <w:r>
        <w:rPr>
          <w:rFonts w:hint="eastAsia" w:ascii="宋体" w:hAnsi="宋体"/>
          <w:sz w:val="21"/>
          <w:szCs w:val="21"/>
          <w:highlight w:val="none"/>
        </w:rPr>
        <w:t>个工作日划转至投资者指定账户</w:t>
      </w:r>
      <w:r>
        <w:rPr>
          <w:rFonts w:hint="eastAsia" w:ascii="宋体" w:hAnsi="宋体"/>
          <w:sz w:val="21"/>
          <w:szCs w:val="21"/>
          <w:highlight w:val="none"/>
          <w:lang w:eastAsia="zh-CN"/>
        </w:rPr>
        <w:t>，具体到账时间，以代销机构规定为准</w:t>
      </w:r>
      <w:r>
        <w:rPr>
          <w:rFonts w:hint="eastAsia" w:ascii="宋体" w:hAnsi="宋体"/>
          <w:sz w:val="21"/>
          <w:szCs w:val="21"/>
          <w:highlight w:val="none"/>
        </w:rPr>
        <w:t>。该赎回申请于</w:t>
      </w:r>
      <w:r>
        <w:rPr>
          <w:rFonts w:ascii="宋体" w:hAnsi="宋体"/>
          <w:sz w:val="21"/>
          <w:szCs w:val="21"/>
          <w:highlight w:val="none"/>
        </w:rPr>
        <w:t>T</w:t>
      </w:r>
      <w:r>
        <w:rPr>
          <w:rFonts w:hint="eastAsia" w:ascii="宋体" w:hAnsi="宋体"/>
          <w:sz w:val="21"/>
          <w:szCs w:val="21"/>
          <w:highlight w:val="none"/>
        </w:rPr>
        <w:t>日后第</w:t>
      </w:r>
      <w:r>
        <w:rPr>
          <w:rFonts w:ascii="宋体" w:hAnsi="宋体"/>
          <w:sz w:val="21"/>
          <w:szCs w:val="21"/>
          <w:highlight w:val="none"/>
        </w:rPr>
        <w:t>1</w:t>
      </w:r>
      <w:r>
        <w:rPr>
          <w:rFonts w:hint="eastAsia" w:ascii="宋体" w:hAnsi="宋体"/>
          <w:sz w:val="21"/>
          <w:szCs w:val="21"/>
          <w:highlight w:val="none"/>
        </w:rPr>
        <w:t>个工作日17:00前可以撤销；</w:t>
      </w:r>
    </w:p>
    <w:p>
      <w:pPr>
        <w:pStyle w:val="2"/>
        <w:snapToGrid w:val="0"/>
        <w:spacing w:line="380" w:lineRule="exact"/>
        <w:ind w:firstLine="420" w:firstLineChars="200"/>
        <w:rPr>
          <w:rFonts w:ascii="宋体" w:hAnsi="宋体"/>
          <w:sz w:val="21"/>
          <w:szCs w:val="21"/>
          <w:highlight w:val="none"/>
        </w:rPr>
      </w:pPr>
      <w:r>
        <w:rPr>
          <w:rFonts w:ascii="宋体" w:hAnsi="宋体"/>
          <w:sz w:val="21"/>
          <w:szCs w:val="21"/>
          <w:highlight w:val="none"/>
        </w:rPr>
        <w:t>3</w:t>
      </w:r>
      <w:r>
        <w:rPr>
          <w:rFonts w:hint="eastAsia" w:ascii="宋体" w:hAnsi="宋体"/>
          <w:sz w:val="21"/>
          <w:szCs w:val="21"/>
          <w:highlight w:val="none"/>
        </w:rPr>
        <w:t>）国家法定节假日（</w:t>
      </w:r>
      <w:r>
        <w:rPr>
          <w:rFonts w:ascii="宋体" w:hAnsi="宋体"/>
          <w:sz w:val="21"/>
          <w:szCs w:val="21"/>
          <w:highlight w:val="none"/>
        </w:rPr>
        <w:t>T</w:t>
      </w:r>
      <w:r>
        <w:rPr>
          <w:rFonts w:hint="eastAsia" w:ascii="宋体" w:hAnsi="宋体"/>
          <w:sz w:val="21"/>
          <w:szCs w:val="21"/>
          <w:highlight w:val="none"/>
        </w:rPr>
        <w:t>日）和其他非工作日（</w:t>
      </w:r>
      <w:r>
        <w:rPr>
          <w:rFonts w:ascii="宋体" w:hAnsi="宋体"/>
          <w:sz w:val="21"/>
          <w:szCs w:val="21"/>
          <w:highlight w:val="none"/>
        </w:rPr>
        <w:t>T</w:t>
      </w:r>
      <w:r>
        <w:rPr>
          <w:rFonts w:hint="eastAsia" w:ascii="宋体" w:hAnsi="宋体"/>
          <w:sz w:val="21"/>
          <w:szCs w:val="21"/>
          <w:highlight w:val="none"/>
        </w:rPr>
        <w:t>日）发生的普通赎回为预受理状态，投资者</w:t>
      </w:r>
      <w:r>
        <w:rPr>
          <w:rFonts w:ascii="宋体" w:hAnsi="宋体"/>
          <w:sz w:val="21"/>
          <w:szCs w:val="21"/>
          <w:highlight w:val="none"/>
        </w:rPr>
        <w:t>T</w:t>
      </w:r>
      <w:r>
        <w:rPr>
          <w:rFonts w:hint="eastAsia" w:ascii="宋体" w:hAnsi="宋体"/>
          <w:sz w:val="21"/>
          <w:szCs w:val="21"/>
          <w:highlight w:val="none"/>
        </w:rPr>
        <w:t>日持有的理财产品份额将于</w:t>
      </w:r>
      <w:r>
        <w:rPr>
          <w:rFonts w:ascii="宋体" w:hAnsi="宋体"/>
          <w:sz w:val="21"/>
          <w:szCs w:val="21"/>
          <w:highlight w:val="none"/>
        </w:rPr>
        <w:t>T</w:t>
      </w:r>
      <w:r>
        <w:rPr>
          <w:rFonts w:hint="eastAsia" w:ascii="宋体" w:hAnsi="宋体"/>
          <w:sz w:val="21"/>
          <w:szCs w:val="21"/>
          <w:highlight w:val="none"/>
        </w:rPr>
        <w:t>日后第</w:t>
      </w:r>
      <w:r>
        <w:rPr>
          <w:rFonts w:ascii="宋体" w:hAnsi="宋体"/>
          <w:sz w:val="21"/>
          <w:szCs w:val="21"/>
          <w:highlight w:val="none"/>
        </w:rPr>
        <w:t>2</w:t>
      </w:r>
      <w:r>
        <w:rPr>
          <w:rFonts w:hint="eastAsia" w:ascii="宋体" w:hAnsi="宋体"/>
          <w:sz w:val="21"/>
          <w:szCs w:val="21"/>
          <w:highlight w:val="none"/>
        </w:rPr>
        <w:t>个工作日划转至投资者指定账户。该赎回申请于</w:t>
      </w:r>
      <w:r>
        <w:rPr>
          <w:rFonts w:ascii="宋体" w:hAnsi="宋体"/>
          <w:sz w:val="21"/>
          <w:szCs w:val="21"/>
          <w:highlight w:val="none"/>
        </w:rPr>
        <w:t>T</w:t>
      </w:r>
      <w:r>
        <w:rPr>
          <w:rFonts w:hint="eastAsia" w:ascii="宋体" w:hAnsi="宋体"/>
          <w:sz w:val="21"/>
          <w:szCs w:val="21"/>
          <w:highlight w:val="none"/>
        </w:rPr>
        <w:t>日后第</w:t>
      </w:r>
      <w:r>
        <w:rPr>
          <w:rFonts w:ascii="宋体" w:hAnsi="宋体"/>
          <w:sz w:val="21"/>
          <w:szCs w:val="21"/>
          <w:highlight w:val="none"/>
        </w:rPr>
        <w:t>1</w:t>
      </w:r>
      <w:r>
        <w:rPr>
          <w:rFonts w:hint="eastAsia" w:ascii="宋体" w:hAnsi="宋体"/>
          <w:sz w:val="21"/>
          <w:szCs w:val="21"/>
          <w:highlight w:val="none"/>
        </w:rPr>
        <w:t>个工作日17:00前可以撤销；</w:t>
      </w:r>
    </w:p>
    <w:p>
      <w:pPr>
        <w:pStyle w:val="2"/>
        <w:snapToGrid w:val="0"/>
        <w:spacing w:line="380" w:lineRule="exact"/>
        <w:ind w:firstLine="420" w:firstLineChars="200"/>
        <w:rPr>
          <w:rFonts w:ascii="宋体" w:hAnsi="宋体"/>
          <w:sz w:val="21"/>
          <w:szCs w:val="21"/>
          <w:highlight w:val="none"/>
        </w:rPr>
      </w:pPr>
      <w:r>
        <w:rPr>
          <w:rFonts w:ascii="宋体" w:hAnsi="宋体"/>
          <w:sz w:val="21"/>
          <w:szCs w:val="21"/>
          <w:highlight w:val="none"/>
        </w:rPr>
        <w:t>4</w:t>
      </w:r>
      <w:r>
        <w:rPr>
          <w:rFonts w:hint="eastAsia" w:ascii="宋体" w:hAnsi="宋体"/>
          <w:sz w:val="21"/>
          <w:szCs w:val="21"/>
          <w:highlight w:val="none"/>
        </w:rPr>
        <w:t>）投资者进行普通赎回时，赎回申请日至资金划转日前一日计算收益，资金划转日不计算收益；</w:t>
      </w:r>
    </w:p>
    <w:p>
      <w:pPr>
        <w:pStyle w:val="2"/>
        <w:snapToGrid w:val="0"/>
        <w:spacing w:line="380" w:lineRule="exact"/>
        <w:ind w:firstLine="420" w:firstLineChars="200"/>
        <w:rPr>
          <w:rFonts w:ascii="宋体" w:hAnsi="宋体"/>
          <w:sz w:val="21"/>
          <w:szCs w:val="21"/>
          <w:highlight w:val="none"/>
        </w:rPr>
      </w:pPr>
      <w:r>
        <w:rPr>
          <w:rFonts w:ascii="宋体" w:hAnsi="宋体"/>
          <w:sz w:val="21"/>
          <w:szCs w:val="21"/>
          <w:highlight w:val="none"/>
        </w:rPr>
        <w:t>5</w:t>
      </w:r>
      <w:r>
        <w:rPr>
          <w:rFonts w:hint="eastAsia" w:ascii="宋体" w:hAnsi="宋体"/>
          <w:sz w:val="21"/>
          <w:szCs w:val="21"/>
          <w:highlight w:val="none"/>
        </w:rPr>
        <w:t>）投资者可选择全额或部分赎回，部分赎回后投资者持有本理财产品的实时余额不得低于相应最低持有份额，实时余额低于最低持有份额的赎回申请，系统将自动予以全部赎回。</w:t>
      </w:r>
    </w:p>
    <w:p>
      <w:pPr>
        <w:pStyle w:val="2"/>
        <w:snapToGrid w:val="0"/>
        <w:spacing w:line="380" w:lineRule="exact"/>
        <w:ind w:firstLine="422" w:firstLineChars="200"/>
        <w:rPr>
          <w:rFonts w:ascii="宋体" w:hAnsi="宋体"/>
          <w:b/>
          <w:bCs/>
          <w:sz w:val="21"/>
          <w:szCs w:val="21"/>
          <w:highlight w:val="none"/>
        </w:rPr>
      </w:pPr>
      <w:r>
        <w:rPr>
          <w:rFonts w:hint="eastAsia" w:ascii="宋体" w:hAnsi="宋体"/>
          <w:b/>
          <w:bCs/>
          <w:sz w:val="21"/>
          <w:szCs w:val="21"/>
          <w:highlight w:val="none"/>
        </w:rPr>
        <w:t>（</w:t>
      </w:r>
      <w:r>
        <w:rPr>
          <w:rFonts w:ascii="宋体" w:hAnsi="宋体"/>
          <w:b/>
          <w:bCs/>
          <w:sz w:val="21"/>
          <w:szCs w:val="21"/>
          <w:highlight w:val="none"/>
        </w:rPr>
        <w:t>2）快速赎回</w:t>
      </w:r>
    </w:p>
    <w:p>
      <w:pPr>
        <w:pStyle w:val="2"/>
        <w:snapToGrid w:val="0"/>
        <w:spacing w:line="380" w:lineRule="exact"/>
        <w:ind w:firstLine="422" w:firstLineChars="200"/>
        <w:rPr>
          <w:rFonts w:ascii="宋体" w:hAnsi="宋体"/>
          <w:b/>
          <w:bCs/>
          <w:szCs w:val="21"/>
          <w:highlight w:val="none"/>
        </w:rPr>
      </w:pPr>
      <w:r>
        <w:rPr>
          <w:rFonts w:ascii="宋体" w:hAnsi="宋体"/>
          <w:b/>
          <w:bCs/>
          <w:sz w:val="21"/>
          <w:szCs w:val="21"/>
          <w:highlight w:val="none"/>
        </w:rPr>
        <w:t>对单个投资者在单个</w:t>
      </w:r>
      <w:r>
        <w:rPr>
          <w:rFonts w:hint="eastAsia" w:ascii="宋体" w:hAnsi="宋体"/>
          <w:b/>
          <w:bCs/>
          <w:sz w:val="21"/>
          <w:szCs w:val="21"/>
          <w:highlight w:val="none"/>
        </w:rPr>
        <w:t>代理</w:t>
      </w:r>
      <w:r>
        <w:rPr>
          <w:rFonts w:ascii="宋体" w:hAnsi="宋体"/>
          <w:b/>
          <w:bCs/>
          <w:sz w:val="21"/>
          <w:szCs w:val="21"/>
          <w:highlight w:val="none"/>
        </w:rPr>
        <w:t>销售</w:t>
      </w:r>
      <w:r>
        <w:rPr>
          <w:rFonts w:hint="eastAsia" w:ascii="宋体" w:hAnsi="宋体"/>
          <w:b/>
          <w:bCs/>
          <w:sz w:val="21"/>
          <w:szCs w:val="21"/>
          <w:highlight w:val="none"/>
        </w:rPr>
        <w:t>机构</w:t>
      </w:r>
      <w:r>
        <w:rPr>
          <w:rFonts w:ascii="宋体" w:hAnsi="宋体"/>
          <w:b/>
          <w:bCs/>
          <w:sz w:val="21"/>
          <w:szCs w:val="21"/>
          <w:highlight w:val="none"/>
        </w:rPr>
        <w:t>渠道持有的单只</w:t>
      </w:r>
      <w:r>
        <w:rPr>
          <w:rFonts w:hint="eastAsia" w:ascii="宋体" w:hAnsi="宋体"/>
          <w:b/>
          <w:bCs/>
          <w:sz w:val="21"/>
          <w:szCs w:val="21"/>
          <w:highlight w:val="none"/>
        </w:rPr>
        <w:t>该理财</w:t>
      </w:r>
      <w:r>
        <w:rPr>
          <w:rFonts w:ascii="宋体" w:hAnsi="宋体"/>
          <w:b/>
          <w:bCs/>
          <w:sz w:val="21"/>
          <w:szCs w:val="21"/>
          <w:highlight w:val="none"/>
        </w:rPr>
        <w:t>产品单个自然日的</w:t>
      </w:r>
      <w:r>
        <w:rPr>
          <w:rFonts w:hint="eastAsia" w:ascii="宋体" w:hAnsi="宋体"/>
          <w:b/>
          <w:bCs/>
          <w:sz w:val="21"/>
          <w:szCs w:val="21"/>
          <w:highlight w:val="none"/>
        </w:rPr>
        <w:t>快速赎回</w:t>
      </w:r>
      <w:r>
        <w:rPr>
          <w:rFonts w:ascii="宋体" w:hAnsi="宋体"/>
          <w:b/>
          <w:bCs/>
          <w:sz w:val="21"/>
          <w:szCs w:val="21"/>
          <w:highlight w:val="none"/>
        </w:rPr>
        <w:t>金额不高于1万元。</w:t>
      </w:r>
      <w:r>
        <w:rPr>
          <w:rFonts w:hint="eastAsia" w:ascii="宋体" w:hAnsi="宋体"/>
          <w:b/>
          <w:bCs/>
          <w:sz w:val="21"/>
          <w:szCs w:val="21"/>
          <w:highlight w:val="none"/>
        </w:rPr>
        <w:t>当日快速赎回的产品份额自赎回日当日起不享受产品的分配权益。</w:t>
      </w:r>
    </w:p>
    <w:p>
      <w:pPr>
        <w:pStyle w:val="2"/>
        <w:snapToGrid w:val="0"/>
        <w:spacing w:line="380" w:lineRule="exact"/>
        <w:ind w:firstLine="422" w:firstLineChars="200"/>
        <w:rPr>
          <w:rFonts w:ascii="宋体" w:hAnsi="宋体"/>
          <w:b/>
          <w:bCs/>
          <w:sz w:val="21"/>
          <w:szCs w:val="21"/>
          <w:highlight w:val="none"/>
        </w:rPr>
      </w:pPr>
      <w:r>
        <w:rPr>
          <w:rFonts w:hint="eastAsia" w:ascii="宋体" w:hAnsi="宋体"/>
          <w:b/>
          <w:bCs/>
          <w:sz w:val="21"/>
          <w:szCs w:val="21"/>
          <w:highlight w:val="none"/>
        </w:rPr>
        <w:t>本产品代理销售机构</w:t>
      </w:r>
      <w:r>
        <w:rPr>
          <w:rStyle w:val="11"/>
          <w:rFonts w:hint="eastAsia" w:cs="仿宋_GB2312" w:asciiTheme="minorHAnsi" w:hAnsiTheme="minorHAnsi" w:eastAsiaTheme="minorEastAsia"/>
          <w:kern w:val="0"/>
          <w:highlight w:val="none"/>
        </w:rPr>
        <w:t>或</w:t>
      </w:r>
      <w:r>
        <w:rPr>
          <w:rFonts w:hint="eastAsia" w:ascii="宋体" w:hAnsi="宋体"/>
          <w:b/>
          <w:bCs/>
          <w:sz w:val="21"/>
          <w:szCs w:val="21"/>
          <w:highlight w:val="none"/>
        </w:rPr>
        <w:t>其他与产品管理人开展合作的银行</w:t>
      </w:r>
      <w:r>
        <w:rPr>
          <w:rFonts w:hint="eastAsia" w:ascii="宋体" w:hAnsi="宋体"/>
          <w:b/>
          <w:bCs/>
          <w:sz w:val="21"/>
          <w:szCs w:val="21"/>
          <w:highlight w:val="none"/>
          <w:lang w:val="en-US" w:eastAsia="zh-CN"/>
        </w:rPr>
        <w:t>可能</w:t>
      </w:r>
      <w:r>
        <w:rPr>
          <w:rFonts w:hint="eastAsia" w:ascii="宋体" w:hAnsi="宋体"/>
          <w:b/>
          <w:bCs/>
          <w:sz w:val="21"/>
          <w:szCs w:val="21"/>
          <w:highlight w:val="none"/>
        </w:rPr>
        <w:t>为投资者提供每个自然日</w:t>
      </w:r>
      <w:r>
        <w:rPr>
          <w:rFonts w:ascii="宋体" w:hAnsi="宋体"/>
          <w:b/>
          <w:bCs/>
          <w:sz w:val="21"/>
          <w:szCs w:val="21"/>
          <w:highlight w:val="none"/>
        </w:rPr>
        <w:t>1</w:t>
      </w:r>
      <w:r>
        <w:rPr>
          <w:rFonts w:hint="eastAsia" w:ascii="宋体" w:hAnsi="宋体"/>
          <w:b/>
          <w:bCs/>
          <w:sz w:val="21"/>
          <w:szCs w:val="21"/>
          <w:highlight w:val="none"/>
        </w:rPr>
        <w:t>万元额度的快速赎回增值服务，即赎回申请成功后快速赎回金额原则上当日划付服务，具体约定以投资者申请快速赎回理财产品份额时签署的协议为准。特别说明，快速赎回非法定义务，为本理财产品的增值服务，快速赎回增值服务上线时间届时将另行公告，本理财产品说明书中有关快速赎回的相关约定将在该增值服务正式上线后生效。产品管理人可根据业务情况选择暂停快速赎回业务，并视情况及时恢复该业务。</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（3）赎回金额保留至小数点后</w:t>
      </w:r>
      <w:r>
        <w:rPr>
          <w:rFonts w:ascii="宋体" w:hAnsi="宋体"/>
          <w:sz w:val="21"/>
          <w:szCs w:val="21"/>
          <w:highlight w:val="none"/>
        </w:rPr>
        <w:t>2位（保</w:t>
      </w:r>
      <w:r>
        <w:rPr>
          <w:rFonts w:hint="eastAsia" w:ascii="宋体" w:hAnsi="宋体"/>
          <w:sz w:val="21"/>
          <w:szCs w:val="21"/>
          <w:highlight w:val="none"/>
        </w:rPr>
        <w:t>留2位小数，小数点2位以后四舍五入）。</w:t>
      </w:r>
    </w:p>
    <w:p>
      <w:pPr>
        <w:spacing w:line="380" w:lineRule="exact"/>
        <w:ind w:firstLine="422" w:firstLineChars="200"/>
        <w:rPr>
          <w:rFonts w:asciiTheme="minorEastAsia" w:hAnsiTheme="minorEastAsia"/>
          <w:b/>
          <w:bCs/>
          <w:kern w:val="0"/>
          <w:szCs w:val="21"/>
          <w:highlight w:val="none"/>
        </w:rPr>
      </w:pPr>
      <w:r>
        <w:rPr>
          <w:rFonts w:hint="eastAsia" w:asciiTheme="minorEastAsia" w:hAnsiTheme="minorEastAsia"/>
          <w:b/>
          <w:bCs/>
          <w:kern w:val="0"/>
          <w:szCs w:val="21"/>
          <w:highlight w:val="none"/>
        </w:rPr>
        <w:t>3</w:t>
      </w:r>
      <w:r>
        <w:rPr>
          <w:rFonts w:asciiTheme="minorEastAsia" w:hAnsiTheme="minorEastAsia"/>
          <w:b/>
          <w:bCs/>
          <w:kern w:val="0"/>
          <w:szCs w:val="21"/>
          <w:highlight w:val="none"/>
        </w:rPr>
        <w:t>.</w:t>
      </w:r>
      <w:r>
        <w:rPr>
          <w:rFonts w:hint="eastAsia" w:asciiTheme="minorEastAsia" w:hAnsiTheme="minorEastAsia"/>
          <w:b/>
          <w:bCs/>
          <w:kern w:val="0"/>
          <w:szCs w:val="21"/>
          <w:highlight w:val="none"/>
        </w:rPr>
        <w:t>拒绝或暂停接受申购申请的情形及处理方式</w:t>
      </w:r>
    </w:p>
    <w:p>
      <w:pPr>
        <w:widowControl/>
        <w:spacing w:line="380" w:lineRule="atLeast"/>
        <w:ind w:firstLine="422" w:firstLineChars="200"/>
        <w:rPr>
          <w:rFonts w:ascii="宋体" w:hAnsi="宋体" w:cs="宋体"/>
          <w:b/>
          <w:bCs/>
          <w:color w:val="000000"/>
          <w:szCs w:val="21"/>
          <w:highlight w:val="none"/>
          <w:lang w:bidi="ar"/>
        </w:rPr>
      </w:pPr>
      <w:r>
        <w:rPr>
          <w:rFonts w:hint="eastAsia" w:ascii="宋体" w:hAnsi="宋体" w:cs="宋体"/>
          <w:b/>
          <w:bCs/>
          <w:color w:val="000000"/>
          <w:szCs w:val="21"/>
          <w:highlight w:val="none"/>
          <w:lang w:bidi="ar"/>
        </w:rPr>
        <w:t>发生下列情况时，管理人可拒绝或暂停接受、办理投资者的申购申请：</w:t>
      </w:r>
    </w:p>
    <w:p>
      <w:pPr>
        <w:widowControl/>
        <w:spacing w:line="380" w:lineRule="atLeast"/>
        <w:ind w:firstLine="422" w:firstLineChars="200"/>
        <w:rPr>
          <w:rFonts w:ascii="宋体" w:hAnsi="宋体" w:cs="宋体"/>
          <w:b/>
          <w:bCs/>
          <w:color w:val="000000"/>
          <w:szCs w:val="21"/>
          <w:highlight w:val="none"/>
          <w:lang w:bidi="ar"/>
        </w:rPr>
      </w:pPr>
      <w:r>
        <w:rPr>
          <w:rFonts w:hint="eastAsia" w:ascii="宋体" w:hAnsi="宋体" w:cs="宋体"/>
          <w:b/>
          <w:bCs/>
          <w:color w:val="000000"/>
          <w:szCs w:val="21"/>
          <w:highlight w:val="none"/>
          <w:lang w:bidi="ar"/>
        </w:rPr>
        <w:t>（</w:t>
      </w:r>
      <w:r>
        <w:rPr>
          <w:rFonts w:ascii="宋体" w:hAnsi="宋体" w:cs="宋体"/>
          <w:b/>
          <w:bCs/>
          <w:color w:val="000000"/>
          <w:szCs w:val="21"/>
          <w:highlight w:val="none"/>
          <w:lang w:bidi="ar"/>
        </w:rPr>
        <w:t>1）因不可抗力导致理财产品无法正常运作；</w:t>
      </w:r>
    </w:p>
    <w:p>
      <w:pPr>
        <w:widowControl/>
        <w:spacing w:line="380" w:lineRule="atLeast"/>
        <w:ind w:left="181" w:leftChars="86" w:firstLine="211" w:firstLineChars="100"/>
        <w:rPr>
          <w:rFonts w:ascii="宋体" w:hAnsi="宋体" w:cs="宋体"/>
          <w:b/>
          <w:bCs/>
          <w:color w:val="000000"/>
          <w:szCs w:val="21"/>
          <w:highlight w:val="none"/>
          <w:lang w:bidi="ar"/>
        </w:rPr>
      </w:pPr>
      <w:r>
        <w:rPr>
          <w:rFonts w:hint="eastAsia" w:ascii="宋体" w:hAnsi="宋体" w:cs="宋体"/>
          <w:b/>
          <w:bCs/>
          <w:color w:val="000000"/>
          <w:szCs w:val="21"/>
          <w:highlight w:val="none"/>
          <w:lang w:bidi="ar"/>
        </w:rPr>
        <w:t>（</w:t>
      </w:r>
      <w:r>
        <w:rPr>
          <w:rFonts w:ascii="宋体" w:hAnsi="宋体" w:cs="宋体"/>
          <w:b/>
          <w:bCs/>
          <w:color w:val="000000"/>
          <w:szCs w:val="21"/>
          <w:highlight w:val="none"/>
          <w:lang w:bidi="ar"/>
        </w:rPr>
        <w:t>2）银行间市场交易所或证券交易所交易时间非正常停市，导致</w:t>
      </w:r>
      <w:r>
        <w:rPr>
          <w:rFonts w:hint="eastAsia" w:ascii="宋体" w:hAnsi="宋体" w:cs="宋体"/>
          <w:b/>
          <w:bCs/>
          <w:color w:val="000000"/>
          <w:szCs w:val="21"/>
          <w:highlight w:val="none"/>
          <w:lang w:bidi="ar"/>
        </w:rPr>
        <w:t>产品</w:t>
      </w:r>
      <w:r>
        <w:rPr>
          <w:rFonts w:ascii="宋体" w:hAnsi="宋体" w:cs="宋体"/>
          <w:b/>
          <w:bCs/>
          <w:color w:val="000000"/>
          <w:szCs w:val="21"/>
          <w:highlight w:val="none"/>
          <w:lang w:bidi="ar"/>
        </w:rPr>
        <w:t>管理人无法计算当日理财产品资产净值；</w:t>
      </w:r>
    </w:p>
    <w:p>
      <w:pPr>
        <w:widowControl/>
        <w:spacing w:line="380" w:lineRule="atLeast"/>
        <w:ind w:firstLine="422" w:firstLineChars="200"/>
        <w:rPr>
          <w:rFonts w:ascii="宋体" w:hAnsi="宋体" w:cs="宋体"/>
          <w:b/>
          <w:bCs/>
          <w:color w:val="000000"/>
          <w:szCs w:val="21"/>
          <w:highlight w:val="none"/>
          <w:lang w:bidi="ar"/>
        </w:rPr>
      </w:pPr>
      <w:r>
        <w:rPr>
          <w:rFonts w:hint="eastAsia" w:ascii="宋体" w:hAnsi="宋体" w:cs="宋体"/>
          <w:b/>
          <w:bCs/>
          <w:color w:val="000000"/>
          <w:szCs w:val="21"/>
          <w:highlight w:val="none"/>
          <w:lang w:bidi="ar"/>
        </w:rPr>
        <w:t>（</w:t>
      </w:r>
      <w:r>
        <w:rPr>
          <w:rFonts w:ascii="宋体" w:hAnsi="宋体" w:cs="宋体"/>
          <w:b/>
          <w:bCs/>
          <w:color w:val="000000"/>
          <w:szCs w:val="21"/>
          <w:highlight w:val="none"/>
          <w:lang w:bidi="ar"/>
        </w:rPr>
        <w:t>3）</w:t>
      </w:r>
      <w:r>
        <w:rPr>
          <w:rFonts w:hint="eastAsia" w:ascii="宋体" w:hAnsi="宋体" w:cs="宋体"/>
          <w:b/>
          <w:bCs/>
          <w:color w:val="000000"/>
          <w:szCs w:val="21"/>
          <w:highlight w:val="none"/>
          <w:lang w:bidi="ar"/>
        </w:rPr>
        <w:t>投资者申购超过理财产品说明书约定的发行规模上限、单笔认/申购上限、单一投资者持有上限等</w:t>
      </w:r>
      <w:r>
        <w:rPr>
          <w:rFonts w:ascii="宋体" w:hAnsi="宋体" w:cs="宋体"/>
          <w:b/>
          <w:bCs/>
          <w:color w:val="000000"/>
          <w:szCs w:val="21"/>
          <w:highlight w:val="none"/>
          <w:lang w:bidi="ar"/>
        </w:rPr>
        <w:t>；</w:t>
      </w:r>
    </w:p>
    <w:p>
      <w:pPr>
        <w:widowControl/>
        <w:spacing w:line="380" w:lineRule="atLeast"/>
        <w:ind w:firstLine="422" w:firstLineChars="200"/>
        <w:rPr>
          <w:rFonts w:ascii="宋体" w:hAnsi="宋体" w:cs="宋体"/>
          <w:b/>
          <w:bCs/>
          <w:color w:val="000000"/>
          <w:szCs w:val="21"/>
          <w:highlight w:val="none"/>
          <w:lang w:bidi="ar"/>
        </w:rPr>
      </w:pPr>
      <w:r>
        <w:rPr>
          <w:rFonts w:hint="eastAsia" w:ascii="宋体" w:hAnsi="宋体" w:cs="宋体"/>
          <w:b/>
          <w:bCs/>
          <w:color w:val="000000"/>
          <w:szCs w:val="21"/>
          <w:highlight w:val="none"/>
          <w:lang w:bidi="ar"/>
        </w:rPr>
        <w:t>（</w:t>
      </w:r>
      <w:r>
        <w:rPr>
          <w:rFonts w:ascii="宋体" w:hAnsi="宋体" w:cs="宋体"/>
          <w:b/>
          <w:bCs/>
          <w:color w:val="000000"/>
          <w:szCs w:val="21"/>
          <w:highlight w:val="none"/>
          <w:lang w:bidi="ar"/>
        </w:rPr>
        <w:t>4）</w:t>
      </w:r>
      <w:r>
        <w:rPr>
          <w:rFonts w:hint="eastAsia" w:ascii="宋体" w:hAnsi="宋体" w:cs="宋体"/>
          <w:b/>
          <w:bCs/>
          <w:color w:val="000000"/>
          <w:szCs w:val="21"/>
          <w:highlight w:val="none"/>
          <w:lang w:bidi="ar"/>
        </w:rPr>
        <w:t>理财产品资产规模过大，产品管理人无法找到合适的投资品种，或继续接受申购可能对理财产品业绩产生负面影响，从而损害现有理财产品份额持有人的利益</w:t>
      </w:r>
      <w:r>
        <w:rPr>
          <w:rFonts w:ascii="宋体" w:hAnsi="宋体" w:cs="宋体"/>
          <w:b/>
          <w:bCs/>
          <w:color w:val="000000"/>
          <w:szCs w:val="21"/>
          <w:highlight w:val="none"/>
          <w:lang w:bidi="ar"/>
        </w:rPr>
        <w:t>；</w:t>
      </w:r>
    </w:p>
    <w:p>
      <w:pPr>
        <w:widowControl/>
        <w:spacing w:line="380" w:lineRule="atLeast"/>
        <w:ind w:firstLine="422" w:firstLineChars="200"/>
        <w:rPr>
          <w:rFonts w:ascii="宋体" w:hAnsi="宋体" w:cs="宋体"/>
          <w:b/>
          <w:bCs/>
          <w:color w:val="000000"/>
          <w:szCs w:val="21"/>
          <w:highlight w:val="none"/>
          <w:lang w:bidi="ar"/>
        </w:rPr>
      </w:pPr>
      <w:r>
        <w:rPr>
          <w:rFonts w:hint="eastAsia" w:ascii="宋体" w:hAnsi="宋体" w:cs="宋体"/>
          <w:b/>
          <w:bCs/>
          <w:color w:val="000000"/>
          <w:szCs w:val="21"/>
          <w:highlight w:val="none"/>
          <w:lang w:bidi="ar"/>
        </w:rPr>
        <w:t>（</w:t>
      </w:r>
      <w:r>
        <w:rPr>
          <w:rFonts w:ascii="宋体" w:hAnsi="宋体" w:cs="宋体"/>
          <w:b/>
          <w:bCs/>
          <w:color w:val="000000"/>
          <w:szCs w:val="21"/>
          <w:highlight w:val="none"/>
          <w:lang w:bidi="ar"/>
        </w:rPr>
        <w:t>5）</w:t>
      </w:r>
      <w:r>
        <w:rPr>
          <w:rFonts w:hint="eastAsia" w:ascii="宋体" w:hAnsi="宋体" w:cs="宋体"/>
          <w:color w:val="000000"/>
          <w:szCs w:val="21"/>
          <w:highlight w:val="none"/>
          <w:lang w:bidi="ar"/>
        </w:rPr>
        <w:t>产品存续期内，</w:t>
      </w:r>
      <w:r>
        <w:rPr>
          <w:rFonts w:hint="eastAsia" w:ascii="宋体" w:hAnsi="宋体" w:cs="宋体"/>
          <w:b/>
          <w:bCs/>
          <w:color w:val="000000"/>
          <w:szCs w:val="21"/>
          <w:highlight w:val="none"/>
          <w:lang w:bidi="ar"/>
        </w:rPr>
        <w:t>产品管理人将根据市场变化及运作情况等在有必要的情况下确定大额申购标准，并至少提前</w:t>
      </w:r>
      <w:r>
        <w:rPr>
          <w:rFonts w:ascii="宋体" w:hAnsi="宋体" w:cs="宋体"/>
          <w:b/>
          <w:bCs/>
          <w:color w:val="000000"/>
          <w:szCs w:val="21"/>
          <w:highlight w:val="none"/>
          <w:lang w:bidi="ar"/>
        </w:rPr>
        <w:t>2个工作日通过</w:t>
      </w:r>
      <w:bookmarkStart w:id="8" w:name="_Hlk113487050"/>
      <w:r>
        <w:rPr>
          <w:rFonts w:hint="eastAsia" w:ascii="宋体" w:hAnsi="宋体" w:cs="宋体"/>
          <w:b/>
          <w:bCs/>
          <w:color w:val="000000"/>
          <w:szCs w:val="21"/>
          <w:highlight w:val="none"/>
          <w:lang w:bidi="ar"/>
        </w:rPr>
        <w:t>本理财产品说明书有关“信息披露”的约定</w:t>
      </w:r>
      <w:bookmarkEnd w:id="8"/>
      <w:r>
        <w:rPr>
          <w:rFonts w:ascii="宋体" w:hAnsi="宋体" w:cs="宋体"/>
          <w:b/>
          <w:bCs/>
          <w:color w:val="000000"/>
          <w:szCs w:val="21"/>
          <w:highlight w:val="none"/>
          <w:lang w:bidi="ar"/>
        </w:rPr>
        <w:t>进行信息公告，向投资者明确披露该期大额申购的标准及适用期限。</w:t>
      </w:r>
      <w:r>
        <w:rPr>
          <w:rFonts w:hint="eastAsia" w:ascii="宋体" w:hAnsi="宋体" w:cs="宋体"/>
          <w:color w:val="000000"/>
          <w:szCs w:val="21"/>
          <w:highlight w:val="none"/>
          <w:lang w:bidi="ar"/>
        </w:rPr>
        <w:t>当本产品遭遇大额申购时，为减少对存量理财产品份额持有人利益的不利影响，产品管理人可以暂停受理理财产品大额申购申请，从而确保投资者的合法权益不受损害并得到公平对待。</w:t>
      </w:r>
      <w:r>
        <w:rPr>
          <w:rFonts w:hint="eastAsia" w:ascii="宋体" w:hAnsi="宋体" w:cs="宋体"/>
          <w:b/>
          <w:bCs/>
          <w:color w:val="000000"/>
          <w:szCs w:val="21"/>
          <w:highlight w:val="none"/>
          <w:lang w:bidi="ar"/>
        </w:rPr>
        <w:t>特殊情况确需进行大额申购时，投资者可通过客户经理向代理销售机构进行单笔申请；</w:t>
      </w:r>
    </w:p>
    <w:p>
      <w:pPr>
        <w:widowControl/>
        <w:spacing w:line="380" w:lineRule="atLeast"/>
        <w:ind w:firstLine="422" w:firstLineChars="200"/>
        <w:rPr>
          <w:rFonts w:ascii="宋体" w:hAnsi="宋体" w:cs="宋体"/>
          <w:b/>
          <w:bCs/>
          <w:color w:val="000000"/>
          <w:szCs w:val="21"/>
          <w:highlight w:val="none"/>
          <w:lang w:bidi="ar"/>
        </w:rPr>
      </w:pPr>
      <w:r>
        <w:rPr>
          <w:rFonts w:hint="eastAsia" w:ascii="宋体" w:hAnsi="宋体" w:cs="宋体"/>
          <w:b/>
          <w:bCs/>
          <w:color w:val="000000"/>
          <w:szCs w:val="21"/>
          <w:highlight w:val="none"/>
          <w:lang w:bidi="ar"/>
        </w:rPr>
        <w:t>（</w:t>
      </w:r>
      <w:r>
        <w:rPr>
          <w:rFonts w:ascii="宋体" w:hAnsi="宋体" w:cs="宋体"/>
          <w:b/>
          <w:bCs/>
          <w:color w:val="000000"/>
          <w:szCs w:val="21"/>
          <w:highlight w:val="none"/>
          <w:lang w:bidi="ar"/>
        </w:rPr>
        <w:t>6）</w:t>
      </w:r>
      <w:r>
        <w:rPr>
          <w:rFonts w:hint="eastAsia" w:ascii="宋体" w:hAnsi="宋体" w:cs="宋体"/>
          <w:b/>
          <w:bCs/>
          <w:color w:val="000000"/>
          <w:szCs w:val="21"/>
          <w:highlight w:val="none"/>
          <w:lang w:bidi="ar"/>
        </w:rPr>
        <w:t>产品管理人认为接受某笔或某些申购申请可能会影响或损害现有理财产品份额持有人权益时</w:t>
      </w:r>
      <w:r>
        <w:rPr>
          <w:rFonts w:ascii="宋体" w:hAnsi="宋体" w:cs="宋体"/>
          <w:b/>
          <w:bCs/>
          <w:color w:val="000000"/>
          <w:szCs w:val="21"/>
          <w:highlight w:val="none"/>
          <w:lang w:bidi="ar"/>
        </w:rPr>
        <w:t>；</w:t>
      </w:r>
    </w:p>
    <w:p>
      <w:pPr>
        <w:widowControl/>
        <w:spacing w:line="380" w:lineRule="atLeast"/>
        <w:ind w:firstLine="422" w:firstLineChars="200"/>
        <w:rPr>
          <w:rFonts w:ascii="宋体" w:hAnsi="宋体" w:cs="宋体"/>
          <w:b/>
          <w:bCs/>
          <w:color w:val="000000"/>
          <w:szCs w:val="21"/>
          <w:highlight w:val="none"/>
          <w:lang w:bidi="ar"/>
        </w:rPr>
      </w:pPr>
      <w:r>
        <w:rPr>
          <w:rFonts w:hint="eastAsia" w:ascii="宋体" w:hAnsi="宋体" w:cs="宋体"/>
          <w:b/>
          <w:bCs/>
          <w:color w:val="000000"/>
          <w:szCs w:val="21"/>
          <w:highlight w:val="none"/>
          <w:lang w:bidi="ar"/>
        </w:rPr>
        <w:t>（7）</w:t>
      </w:r>
      <w:r>
        <w:rPr>
          <w:rFonts w:ascii="宋体" w:hAnsi="宋体" w:cs="宋体"/>
          <w:b/>
          <w:bCs/>
          <w:color w:val="000000"/>
          <w:szCs w:val="21"/>
          <w:highlight w:val="none"/>
          <w:lang w:bidi="ar"/>
        </w:rPr>
        <w:t>发生本</w:t>
      </w:r>
      <w:r>
        <w:rPr>
          <w:rFonts w:hint="eastAsia" w:ascii="宋体" w:hAnsi="宋体" w:cs="宋体"/>
          <w:b/>
          <w:bCs/>
          <w:color w:val="000000"/>
          <w:szCs w:val="21"/>
          <w:highlight w:val="none"/>
          <w:lang w:bidi="ar"/>
        </w:rPr>
        <w:t>理财</w:t>
      </w:r>
      <w:r>
        <w:rPr>
          <w:rFonts w:ascii="宋体" w:hAnsi="宋体" w:cs="宋体"/>
          <w:b/>
          <w:bCs/>
          <w:color w:val="000000"/>
          <w:szCs w:val="21"/>
          <w:highlight w:val="none"/>
          <w:lang w:bidi="ar"/>
        </w:rPr>
        <w:t>产品</w:t>
      </w:r>
      <w:r>
        <w:rPr>
          <w:rFonts w:hint="eastAsia" w:ascii="宋体" w:hAnsi="宋体" w:cs="宋体"/>
          <w:b/>
          <w:bCs/>
          <w:color w:val="000000"/>
          <w:szCs w:val="21"/>
          <w:highlight w:val="none"/>
          <w:lang w:bidi="ar"/>
        </w:rPr>
        <w:t>说明书</w:t>
      </w:r>
      <w:r>
        <w:rPr>
          <w:rFonts w:ascii="宋体" w:hAnsi="宋体" w:cs="宋体"/>
          <w:b/>
          <w:bCs/>
          <w:color w:val="000000"/>
          <w:szCs w:val="21"/>
          <w:highlight w:val="none"/>
          <w:lang w:bidi="ar"/>
        </w:rPr>
        <w:t>规定的暂停理财产品资产估值情况</w:t>
      </w:r>
      <w:r>
        <w:rPr>
          <w:rFonts w:hint="eastAsia" w:ascii="宋体" w:hAnsi="宋体" w:cs="宋体"/>
          <w:b/>
          <w:bCs/>
          <w:color w:val="000000"/>
          <w:szCs w:val="21"/>
          <w:highlight w:val="none"/>
          <w:lang w:bidi="ar"/>
        </w:rPr>
        <w:t>；</w:t>
      </w:r>
    </w:p>
    <w:p>
      <w:pPr>
        <w:widowControl/>
        <w:spacing w:line="380" w:lineRule="atLeast"/>
        <w:ind w:firstLine="422" w:firstLineChars="200"/>
        <w:rPr>
          <w:rFonts w:ascii="宋体" w:hAnsi="宋体" w:cs="宋体"/>
          <w:b/>
          <w:bCs/>
          <w:color w:val="000000"/>
          <w:szCs w:val="21"/>
          <w:highlight w:val="none"/>
          <w:lang w:bidi="ar"/>
        </w:rPr>
      </w:pPr>
      <w:r>
        <w:rPr>
          <w:rFonts w:hint="eastAsia" w:ascii="宋体" w:hAnsi="宋体" w:cs="宋体"/>
          <w:b/>
          <w:bCs/>
          <w:color w:val="000000"/>
          <w:szCs w:val="21"/>
          <w:highlight w:val="none"/>
          <w:lang w:bidi="ar"/>
        </w:rPr>
        <w:t>（</w:t>
      </w:r>
      <w:r>
        <w:rPr>
          <w:rFonts w:ascii="宋体" w:hAnsi="宋体" w:cs="宋体"/>
          <w:b/>
          <w:bCs/>
          <w:color w:val="000000"/>
          <w:szCs w:val="21"/>
          <w:highlight w:val="none"/>
          <w:lang w:bidi="ar"/>
        </w:rPr>
        <w:t>8）法律法规规定或国务院银行业监督管理机构认定的其他情形。</w:t>
      </w:r>
    </w:p>
    <w:p>
      <w:pPr>
        <w:widowControl/>
        <w:spacing w:line="380" w:lineRule="atLeast"/>
        <w:ind w:left="181" w:leftChars="86" w:firstLine="420"/>
        <w:rPr>
          <w:rFonts w:ascii="宋体" w:hAnsi="宋体" w:cs="宋体"/>
          <w:b/>
          <w:bCs/>
          <w:color w:val="000000"/>
          <w:szCs w:val="21"/>
          <w:highlight w:val="none"/>
          <w:lang w:bidi="ar"/>
        </w:rPr>
      </w:pPr>
      <w:r>
        <w:rPr>
          <w:rFonts w:hint="eastAsia" w:ascii="宋体" w:hAnsi="宋体" w:cs="宋体"/>
          <w:b/>
          <w:bCs/>
          <w:color w:val="000000"/>
          <w:szCs w:val="21"/>
          <w:highlight w:val="none"/>
          <w:lang w:bidi="ar"/>
        </w:rPr>
        <w:t>4</w:t>
      </w:r>
      <w:r>
        <w:rPr>
          <w:rFonts w:ascii="宋体" w:hAnsi="宋体" w:cs="宋体"/>
          <w:b/>
          <w:bCs/>
          <w:color w:val="000000"/>
          <w:szCs w:val="21"/>
          <w:highlight w:val="none"/>
          <w:lang w:bidi="ar"/>
        </w:rPr>
        <w:t>.</w:t>
      </w:r>
      <w:r>
        <w:rPr>
          <w:rFonts w:hint="eastAsia" w:ascii="宋体" w:hAnsi="宋体" w:cs="宋体"/>
          <w:b/>
          <w:bCs/>
          <w:color w:val="000000"/>
          <w:szCs w:val="21"/>
          <w:highlight w:val="none"/>
          <w:lang w:bidi="ar"/>
        </w:rPr>
        <w:t>拒绝或暂停接受赎回申请、延缓支付赎回款项的情形及处理方式</w:t>
      </w:r>
    </w:p>
    <w:p>
      <w:pPr>
        <w:widowControl/>
        <w:spacing w:line="380" w:lineRule="atLeast"/>
        <w:ind w:left="181" w:leftChars="86" w:firstLine="420"/>
        <w:rPr>
          <w:rFonts w:ascii="宋体" w:hAnsi="宋体" w:cs="宋体"/>
          <w:b/>
          <w:bCs/>
          <w:color w:val="000000"/>
          <w:szCs w:val="21"/>
          <w:highlight w:val="none"/>
          <w:lang w:bidi="ar"/>
        </w:rPr>
      </w:pPr>
      <w:r>
        <w:rPr>
          <w:rFonts w:hint="eastAsia" w:ascii="宋体" w:hAnsi="宋体" w:cs="宋体"/>
          <w:b/>
          <w:bCs/>
          <w:color w:val="000000"/>
          <w:szCs w:val="21"/>
          <w:highlight w:val="none"/>
          <w:lang w:bidi="ar"/>
        </w:rPr>
        <w:t>发生下列情况时，管理人可拒绝或暂停接受赎回或延缓支付赎回款项：</w:t>
      </w:r>
    </w:p>
    <w:p>
      <w:pPr>
        <w:widowControl/>
        <w:spacing w:line="380" w:lineRule="atLeast"/>
        <w:ind w:firstLine="422" w:firstLineChars="200"/>
        <w:rPr>
          <w:rFonts w:ascii="宋体" w:hAnsi="宋体" w:cs="宋体"/>
          <w:b/>
          <w:bCs/>
          <w:color w:val="000000"/>
          <w:szCs w:val="21"/>
          <w:highlight w:val="none"/>
          <w:lang w:bidi="ar"/>
        </w:rPr>
      </w:pPr>
      <w:r>
        <w:rPr>
          <w:rFonts w:hint="eastAsia" w:ascii="宋体" w:hAnsi="宋体" w:cs="宋体"/>
          <w:b/>
          <w:bCs/>
          <w:color w:val="000000"/>
          <w:szCs w:val="21"/>
          <w:highlight w:val="none"/>
          <w:lang w:bidi="ar"/>
        </w:rPr>
        <w:t>（</w:t>
      </w:r>
      <w:r>
        <w:rPr>
          <w:rFonts w:ascii="宋体" w:hAnsi="宋体" w:cs="宋体"/>
          <w:b/>
          <w:bCs/>
          <w:color w:val="000000"/>
          <w:szCs w:val="21"/>
          <w:highlight w:val="none"/>
          <w:lang w:bidi="ar"/>
        </w:rPr>
        <w:t>1）因不可抗力导致理财产品无法正常运作；</w:t>
      </w:r>
    </w:p>
    <w:p>
      <w:pPr>
        <w:widowControl/>
        <w:spacing w:line="380" w:lineRule="atLeast"/>
        <w:ind w:firstLine="422" w:firstLineChars="200"/>
        <w:rPr>
          <w:rFonts w:ascii="宋体" w:hAnsi="宋体" w:cs="宋体"/>
          <w:b/>
          <w:bCs/>
          <w:color w:val="000000"/>
          <w:szCs w:val="21"/>
          <w:highlight w:val="none"/>
          <w:lang w:bidi="ar"/>
        </w:rPr>
      </w:pPr>
      <w:r>
        <w:rPr>
          <w:rFonts w:hint="eastAsia" w:ascii="宋体" w:hAnsi="宋体" w:cs="宋体"/>
          <w:b/>
          <w:bCs/>
          <w:color w:val="000000"/>
          <w:szCs w:val="21"/>
          <w:highlight w:val="none"/>
          <w:lang w:bidi="ar"/>
        </w:rPr>
        <w:t>（</w:t>
      </w:r>
      <w:r>
        <w:rPr>
          <w:rFonts w:ascii="宋体" w:hAnsi="宋体" w:cs="宋体"/>
          <w:b/>
          <w:bCs/>
          <w:color w:val="000000"/>
          <w:szCs w:val="21"/>
          <w:highlight w:val="none"/>
          <w:lang w:bidi="ar"/>
        </w:rPr>
        <w:t>2）银行间市场交易所或证券交易所交易时间非正常停市，导致</w:t>
      </w:r>
      <w:r>
        <w:rPr>
          <w:rFonts w:hint="eastAsia" w:ascii="宋体" w:hAnsi="宋体" w:cs="宋体"/>
          <w:b/>
          <w:bCs/>
          <w:color w:val="000000"/>
          <w:szCs w:val="21"/>
          <w:highlight w:val="none"/>
          <w:lang w:bidi="ar"/>
        </w:rPr>
        <w:t>产品</w:t>
      </w:r>
      <w:r>
        <w:rPr>
          <w:rFonts w:ascii="宋体" w:hAnsi="宋体" w:cs="宋体"/>
          <w:b/>
          <w:bCs/>
          <w:color w:val="000000"/>
          <w:szCs w:val="21"/>
          <w:highlight w:val="none"/>
          <w:lang w:bidi="ar"/>
        </w:rPr>
        <w:t>管理人无法计算当日理财产品资产净值；</w:t>
      </w:r>
    </w:p>
    <w:p>
      <w:pPr>
        <w:widowControl/>
        <w:spacing w:line="380" w:lineRule="atLeast"/>
        <w:ind w:firstLine="422" w:firstLineChars="200"/>
        <w:rPr>
          <w:rFonts w:ascii="宋体" w:hAnsi="宋体" w:cs="宋体"/>
          <w:b/>
          <w:bCs/>
          <w:color w:val="000000"/>
          <w:szCs w:val="21"/>
          <w:highlight w:val="none"/>
          <w:lang w:bidi="ar"/>
        </w:rPr>
      </w:pPr>
      <w:r>
        <w:rPr>
          <w:rFonts w:hint="eastAsia" w:ascii="宋体" w:hAnsi="宋体" w:cs="宋体"/>
          <w:b/>
          <w:bCs/>
          <w:color w:val="000000"/>
          <w:szCs w:val="21"/>
          <w:highlight w:val="none"/>
          <w:lang w:bidi="ar"/>
        </w:rPr>
        <w:t>（</w:t>
      </w:r>
      <w:r>
        <w:rPr>
          <w:rFonts w:ascii="宋体" w:hAnsi="宋体" w:cs="宋体"/>
          <w:b/>
          <w:bCs/>
          <w:color w:val="000000"/>
          <w:szCs w:val="21"/>
          <w:highlight w:val="none"/>
          <w:lang w:bidi="ar"/>
        </w:rPr>
        <w:t>3）发生巨额赎回</w:t>
      </w:r>
      <w:r>
        <w:rPr>
          <w:rFonts w:hint="eastAsia" w:ascii="宋体" w:hAnsi="宋体" w:cs="宋体"/>
          <w:b/>
          <w:bCs/>
          <w:color w:val="000000"/>
          <w:szCs w:val="21"/>
          <w:highlight w:val="none"/>
          <w:lang w:bidi="ar"/>
        </w:rPr>
        <w:t>的情形时</w:t>
      </w:r>
      <w:r>
        <w:rPr>
          <w:rFonts w:ascii="宋体" w:hAnsi="宋体" w:cs="宋体"/>
          <w:b/>
          <w:bCs/>
          <w:color w:val="000000"/>
          <w:szCs w:val="21"/>
          <w:highlight w:val="none"/>
          <w:lang w:bidi="ar"/>
        </w:rPr>
        <w:t>；</w:t>
      </w:r>
    </w:p>
    <w:p>
      <w:pPr>
        <w:widowControl/>
        <w:spacing w:line="380" w:lineRule="atLeast"/>
        <w:ind w:firstLine="422" w:firstLineChars="200"/>
        <w:rPr>
          <w:rFonts w:ascii="宋体" w:hAnsi="宋体" w:cs="宋体"/>
          <w:b/>
          <w:bCs/>
          <w:color w:val="000000"/>
          <w:szCs w:val="21"/>
          <w:highlight w:val="none"/>
          <w:lang w:bidi="ar"/>
        </w:rPr>
      </w:pPr>
      <w:r>
        <w:rPr>
          <w:rFonts w:hint="eastAsia" w:ascii="宋体" w:hAnsi="宋体" w:cs="宋体"/>
          <w:b/>
          <w:bCs/>
          <w:color w:val="000000"/>
          <w:szCs w:val="21"/>
          <w:highlight w:val="none"/>
          <w:lang w:bidi="ar"/>
        </w:rPr>
        <w:t>（</w:t>
      </w:r>
      <w:r>
        <w:rPr>
          <w:rFonts w:ascii="宋体" w:hAnsi="宋体" w:cs="宋体"/>
          <w:b/>
          <w:bCs/>
          <w:color w:val="000000"/>
          <w:szCs w:val="21"/>
          <w:highlight w:val="none"/>
          <w:lang w:bidi="ar"/>
        </w:rPr>
        <w:t>4）发生本</w:t>
      </w:r>
      <w:r>
        <w:rPr>
          <w:rFonts w:hint="eastAsia" w:ascii="宋体" w:hAnsi="宋体" w:cs="宋体"/>
          <w:b/>
          <w:bCs/>
          <w:color w:val="000000"/>
          <w:szCs w:val="21"/>
          <w:highlight w:val="none"/>
          <w:lang w:bidi="ar"/>
        </w:rPr>
        <w:t>理财</w:t>
      </w:r>
      <w:r>
        <w:rPr>
          <w:rFonts w:ascii="宋体" w:hAnsi="宋体" w:cs="宋体"/>
          <w:b/>
          <w:bCs/>
          <w:color w:val="000000"/>
          <w:szCs w:val="21"/>
          <w:highlight w:val="none"/>
          <w:lang w:bidi="ar"/>
        </w:rPr>
        <w:t>产品</w:t>
      </w:r>
      <w:r>
        <w:rPr>
          <w:rFonts w:hint="eastAsia" w:ascii="宋体" w:hAnsi="宋体" w:cs="宋体"/>
          <w:b/>
          <w:bCs/>
          <w:color w:val="000000"/>
          <w:szCs w:val="21"/>
          <w:highlight w:val="none"/>
          <w:lang w:bidi="ar"/>
        </w:rPr>
        <w:t>说明书</w:t>
      </w:r>
      <w:r>
        <w:rPr>
          <w:rFonts w:ascii="宋体" w:hAnsi="宋体" w:cs="宋体"/>
          <w:b/>
          <w:bCs/>
          <w:color w:val="000000"/>
          <w:szCs w:val="21"/>
          <w:highlight w:val="none"/>
          <w:lang w:bidi="ar"/>
        </w:rPr>
        <w:t>规定的暂停理财产品资产估值情况；</w:t>
      </w:r>
    </w:p>
    <w:p>
      <w:pPr>
        <w:widowControl/>
        <w:spacing w:line="380" w:lineRule="atLeast"/>
        <w:ind w:firstLine="422" w:firstLineChars="200"/>
        <w:rPr>
          <w:rFonts w:ascii="宋体" w:hAnsi="宋体" w:cs="宋体"/>
          <w:b/>
          <w:bCs/>
          <w:color w:val="000000"/>
          <w:szCs w:val="21"/>
          <w:highlight w:val="none"/>
          <w:lang w:bidi="ar"/>
        </w:rPr>
      </w:pPr>
      <w:r>
        <w:rPr>
          <w:rFonts w:hint="eastAsia" w:ascii="宋体" w:hAnsi="宋体" w:cs="宋体"/>
          <w:b/>
          <w:bCs/>
          <w:color w:val="000000"/>
          <w:szCs w:val="21"/>
          <w:highlight w:val="none"/>
          <w:lang w:bidi="ar"/>
        </w:rPr>
        <w:t>（</w:t>
      </w:r>
      <w:r>
        <w:rPr>
          <w:rFonts w:ascii="宋体" w:hAnsi="宋体" w:cs="宋体"/>
          <w:b/>
          <w:bCs/>
          <w:color w:val="000000"/>
          <w:szCs w:val="21"/>
          <w:highlight w:val="none"/>
          <w:lang w:bidi="ar"/>
        </w:rPr>
        <w:t>5）</w:t>
      </w:r>
      <w:r>
        <w:rPr>
          <w:rFonts w:hint="eastAsia" w:ascii="宋体" w:hAnsi="宋体" w:cs="宋体"/>
          <w:b/>
          <w:bCs/>
          <w:color w:val="000000"/>
          <w:szCs w:val="21"/>
          <w:highlight w:val="none"/>
          <w:lang w:bidi="ar"/>
        </w:rPr>
        <w:t>产品管理人认为接受某笔或某些赎回申请可能会影响或损害现有理财产品份额持有人权益时；</w:t>
      </w:r>
    </w:p>
    <w:p>
      <w:pPr>
        <w:widowControl/>
        <w:spacing w:line="380" w:lineRule="atLeast"/>
        <w:ind w:firstLine="422" w:firstLineChars="200"/>
        <w:rPr>
          <w:rFonts w:ascii="宋体" w:hAnsi="宋体" w:cs="宋体"/>
          <w:b/>
          <w:bCs/>
          <w:color w:val="000000"/>
          <w:szCs w:val="21"/>
          <w:highlight w:val="none"/>
          <w:lang w:bidi="ar"/>
        </w:rPr>
      </w:pPr>
      <w:r>
        <w:rPr>
          <w:rFonts w:hint="eastAsia" w:ascii="宋体" w:hAnsi="宋体" w:cs="宋体"/>
          <w:b/>
          <w:bCs/>
          <w:color w:val="000000"/>
          <w:szCs w:val="21"/>
          <w:highlight w:val="none"/>
          <w:lang w:bidi="ar"/>
        </w:rPr>
        <w:t>（6）</w:t>
      </w:r>
      <w:r>
        <w:rPr>
          <w:rFonts w:ascii="宋体" w:hAnsi="宋体" w:cs="宋体"/>
          <w:b/>
          <w:bCs/>
          <w:color w:val="000000"/>
          <w:szCs w:val="21"/>
          <w:highlight w:val="none"/>
          <w:lang w:bidi="ar"/>
        </w:rPr>
        <w:t>法律法规规定或国务院银行业监督管理机构认定的其他情形。</w:t>
      </w:r>
    </w:p>
    <w:p>
      <w:pPr>
        <w:widowControl/>
        <w:spacing w:line="380" w:lineRule="atLeast"/>
        <w:ind w:left="181" w:leftChars="86" w:firstLine="420"/>
        <w:rPr>
          <w:rFonts w:asciiTheme="minorEastAsia" w:hAnsiTheme="minorEastAsia"/>
          <w:kern w:val="0"/>
          <w:szCs w:val="21"/>
          <w:highlight w:val="none"/>
        </w:rPr>
      </w:pPr>
      <w:r>
        <w:rPr>
          <w:rFonts w:hint="eastAsia" w:ascii="宋体" w:hAnsi="宋体" w:cs="宋体"/>
          <w:kern w:val="0"/>
          <w:szCs w:val="21"/>
          <w:highlight w:val="none"/>
          <w:lang w:bidi="ar"/>
        </w:rPr>
        <w:t>发生上述暂停申购、赎回情形时，管理人将根据</w:t>
      </w:r>
      <w:r>
        <w:rPr>
          <w:rFonts w:hint="eastAsia" w:ascii="宋体" w:hAnsi="宋体" w:cs="宋体"/>
          <w:color w:val="000000"/>
          <w:szCs w:val="21"/>
          <w:highlight w:val="none"/>
          <w:lang w:bidi="ar"/>
        </w:rPr>
        <w:t>本理财产品说明书有关</w:t>
      </w:r>
      <w:r>
        <w:rPr>
          <w:rFonts w:hint="eastAsia" w:ascii="宋体" w:hAnsi="宋体" w:cs="宋体"/>
          <w:b/>
          <w:bCs/>
          <w:color w:val="000000"/>
          <w:szCs w:val="21"/>
          <w:highlight w:val="none"/>
          <w:lang w:bidi="ar"/>
        </w:rPr>
        <w:t>“信息披露”</w:t>
      </w:r>
      <w:r>
        <w:rPr>
          <w:rFonts w:hint="eastAsia" w:ascii="宋体" w:hAnsi="宋体" w:cs="宋体"/>
          <w:color w:val="000000"/>
          <w:szCs w:val="21"/>
          <w:highlight w:val="none"/>
          <w:lang w:bidi="ar"/>
        </w:rPr>
        <w:t>的约定</w:t>
      </w:r>
      <w:r>
        <w:rPr>
          <w:rFonts w:hint="eastAsia" w:ascii="宋体" w:hAnsi="宋体" w:cs="宋体"/>
          <w:kern w:val="0"/>
          <w:szCs w:val="21"/>
          <w:highlight w:val="none"/>
          <w:lang w:bidi="ar"/>
        </w:rPr>
        <w:t>发布暂停申购、赎回公告。如果投资者的申购申请被拒绝，拒绝的申购款项将退还给投资者，管理人不负责承担投资者由此产生的利息等损失。在暂停申购、赎回的情况消除时，管理人将及时恢复申购、赎回业务的办理。</w:t>
      </w:r>
    </w:p>
    <w:p>
      <w:pPr>
        <w:pStyle w:val="2"/>
        <w:snapToGrid w:val="0"/>
        <w:spacing w:line="380" w:lineRule="exact"/>
        <w:ind w:firstLine="422" w:firstLineChars="200"/>
        <w:rPr>
          <w:rFonts w:ascii="宋体" w:hAnsi="宋体"/>
          <w:b/>
          <w:bCs/>
          <w:sz w:val="21"/>
          <w:szCs w:val="21"/>
          <w:highlight w:val="none"/>
        </w:rPr>
      </w:pPr>
      <w:r>
        <w:rPr>
          <w:rFonts w:hint="eastAsia" w:ascii="宋体" w:hAnsi="宋体"/>
          <w:b/>
          <w:bCs/>
          <w:sz w:val="21"/>
          <w:szCs w:val="21"/>
          <w:highlight w:val="none"/>
        </w:rPr>
        <w:t>十三、</w:t>
      </w:r>
      <w:r>
        <w:rPr>
          <w:rFonts w:hint="eastAsia" w:ascii="宋体" w:hAnsi="宋体"/>
          <w:b/>
          <w:color w:val="000000" w:themeColor="text1"/>
          <w:sz w:val="21"/>
          <w:szCs w:val="21"/>
          <w:highlight w:val="none"/>
          <w14:textFill>
            <w14:solidFill>
              <w14:schemeClr w14:val="tx1"/>
            </w14:solidFill>
          </w14:textFill>
        </w:rPr>
        <w:t>巨额赎回的情形及处理方式</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（一）巨额赎回</w:t>
      </w:r>
      <w:r>
        <w:rPr>
          <w:rFonts w:ascii="宋体" w:hAnsi="宋体"/>
          <w:sz w:val="21"/>
          <w:szCs w:val="21"/>
          <w:highlight w:val="none"/>
        </w:rPr>
        <w:t>的认定</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产品</w:t>
      </w:r>
      <w:r>
        <w:rPr>
          <w:rFonts w:ascii="宋体" w:hAnsi="宋体"/>
          <w:sz w:val="21"/>
          <w:szCs w:val="21"/>
          <w:highlight w:val="none"/>
        </w:rPr>
        <w:t>存续期内</w:t>
      </w:r>
      <w:r>
        <w:rPr>
          <w:rFonts w:hint="eastAsia" w:ascii="宋体" w:hAnsi="宋体"/>
          <w:sz w:val="21"/>
          <w:szCs w:val="21"/>
          <w:highlight w:val="none"/>
        </w:rPr>
        <w:t>，任一赎回开放日，产品累计净赎回申请（赎回申请份额总数扣除申购申请份额总数）超过上一确认日日终理财产品总份额的10%，即为巨额赎回。</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（二）巨额赎回</w:t>
      </w:r>
      <w:r>
        <w:rPr>
          <w:rFonts w:ascii="宋体" w:hAnsi="宋体"/>
          <w:sz w:val="21"/>
          <w:szCs w:val="21"/>
          <w:highlight w:val="none"/>
        </w:rPr>
        <w:t>的处理方式</w:t>
      </w:r>
    </w:p>
    <w:p>
      <w:pPr>
        <w:pStyle w:val="2"/>
        <w:snapToGrid w:val="0"/>
        <w:spacing w:line="380" w:lineRule="exact"/>
        <w:ind w:firstLine="422" w:firstLineChars="200"/>
        <w:rPr>
          <w:rFonts w:ascii="宋体" w:hAnsi="宋体"/>
          <w:b/>
          <w:bCs/>
          <w:sz w:val="21"/>
          <w:szCs w:val="21"/>
          <w:highlight w:val="none"/>
        </w:rPr>
      </w:pPr>
      <w:r>
        <w:rPr>
          <w:rFonts w:ascii="宋体" w:hAnsi="宋体"/>
          <w:b/>
          <w:bCs/>
          <w:sz w:val="21"/>
          <w:szCs w:val="21"/>
          <w:highlight w:val="none"/>
        </w:rPr>
        <w:t>对于超出巨额赎回上限比例的赎回申请，</w:t>
      </w:r>
      <w:r>
        <w:rPr>
          <w:rFonts w:hint="eastAsia" w:ascii="宋体" w:hAnsi="宋体"/>
          <w:b/>
          <w:bCs/>
          <w:sz w:val="21"/>
          <w:szCs w:val="21"/>
          <w:highlight w:val="none"/>
        </w:rPr>
        <w:t>管理人</w:t>
      </w:r>
      <w:r>
        <w:rPr>
          <w:rFonts w:ascii="宋体" w:hAnsi="宋体"/>
          <w:b/>
          <w:bCs/>
          <w:sz w:val="21"/>
          <w:szCs w:val="21"/>
          <w:highlight w:val="none"/>
        </w:rPr>
        <w:t>有权根据实际情况选择以下任意处理方式</w:t>
      </w:r>
      <w:r>
        <w:rPr>
          <w:rFonts w:hint="eastAsia" w:ascii="宋体" w:hAnsi="宋体"/>
          <w:b/>
          <w:bCs/>
          <w:sz w:val="21"/>
          <w:szCs w:val="21"/>
          <w:highlight w:val="none"/>
        </w:rPr>
        <w:t>，并最迟于巨额赎回</w:t>
      </w:r>
      <w:r>
        <w:rPr>
          <w:rFonts w:ascii="宋体" w:hAnsi="宋体"/>
          <w:b/>
          <w:bCs/>
          <w:sz w:val="21"/>
          <w:szCs w:val="21"/>
          <w:highlight w:val="none"/>
        </w:rPr>
        <w:t>发生后3个工作日内</w:t>
      </w:r>
      <w:r>
        <w:rPr>
          <w:rFonts w:hint="eastAsia" w:ascii="宋体" w:hAnsi="宋体"/>
          <w:b/>
          <w:bCs/>
          <w:sz w:val="21"/>
          <w:szCs w:val="21"/>
          <w:highlight w:val="none"/>
        </w:rPr>
        <w:t>进行公告</w:t>
      </w:r>
      <w:r>
        <w:rPr>
          <w:rFonts w:ascii="宋体" w:hAnsi="宋体"/>
          <w:b/>
          <w:bCs/>
          <w:sz w:val="21"/>
          <w:szCs w:val="21"/>
          <w:highlight w:val="none"/>
        </w:rPr>
        <w:t>：</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1.全部赎回：当管理人认为有能力满足全部投资者赎回申请时，按正常赎回程序执行。</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2.拒绝（或暂停）赎回或部分拒绝（或暂停）赎回：当管理人认为支付投资者的赎回款项有困难或认为因支付投资者的赎回款项而进行的资产变现可能会对理财产品资产净值造成较大波动等情形时，在当日接受赎回比例不低于上一工作日日终理财产品总份额的10%的前提下，管理人有权1）暂停接受超过10%以上部分的赎回申请，或2）对超过10%以上部分的赎回申请延期办理。若管理人对于超过10%以上部分的赎回申请选择延期办理，管理人有权按照赎回开放日内投资者赎回申请递交的顺序，依照时间优先（即“先申请、先赎回”）的原则确认当日受理的赎回申请；或3）对赎回开放日内投资者的所有赎回申请，按照</w:t>
      </w:r>
      <w:r>
        <w:rPr>
          <w:rFonts w:hint="eastAsia" w:ascii="宋体" w:hAnsi="宋体" w:cs="宋体"/>
          <w:bCs/>
          <w:color w:val="000000"/>
          <w:sz w:val="21"/>
          <w:szCs w:val="21"/>
          <w:highlight w:val="none"/>
          <w:lang w:bidi="ar"/>
        </w:rPr>
        <w:t>产品当日最大可赎回份额</w:t>
      </w:r>
      <w:r>
        <w:rPr>
          <w:rFonts w:hint="eastAsia" w:ascii="宋体" w:hAnsi="宋体"/>
          <w:sz w:val="21"/>
          <w:szCs w:val="21"/>
          <w:highlight w:val="none"/>
        </w:rPr>
        <w:t>占当日申请赎回总份额的比例进行确认。</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3.延缓支付赎回款项：若理财产品连续2个开放日（含）及以上发生巨额赎回，管理人除有权选择全额赎回或部分赎回等措施外，对于已经接受的赎回申请，管理人有权延缓支付赎回款项，但延缓支付期限不得超过20个工作日。</w:t>
      </w:r>
    </w:p>
    <w:p>
      <w:pPr>
        <w:widowControl/>
        <w:spacing w:before="17" w:line="380" w:lineRule="atLeast"/>
        <w:ind w:firstLine="422"/>
        <w:rPr>
          <w:rFonts w:ascii="宋体" w:hAnsi="宋体"/>
          <w:szCs w:val="21"/>
          <w:highlight w:val="none"/>
        </w:rPr>
      </w:pPr>
      <w:r>
        <w:rPr>
          <w:rFonts w:hint="eastAsia" w:ascii="宋体" w:hAnsi="宋体"/>
          <w:szCs w:val="21"/>
          <w:highlight w:val="none"/>
        </w:rPr>
        <w:t>4.当发生巨额赎回或连续巨额赎回，管理人选择延期办理巨额赎回申请、暂停接受赎回申请或延缓支付赎回款项时，管理人将根据本理财产品说明书约定的“信息披露”方式向投资者进行信息披露。</w:t>
      </w:r>
    </w:p>
    <w:p>
      <w:pPr>
        <w:spacing w:line="360" w:lineRule="auto"/>
        <w:ind w:firstLine="422" w:firstLineChars="200"/>
        <w:outlineLvl w:val="1"/>
        <w:rPr>
          <w:rFonts w:asciiTheme="minorEastAsia" w:hAnsiTheme="minorEastAsia"/>
          <w:b/>
          <w:kern w:val="0"/>
          <w:szCs w:val="21"/>
          <w:highlight w:val="none"/>
        </w:rPr>
      </w:pPr>
      <w:r>
        <w:rPr>
          <w:rFonts w:hint="eastAsia" w:asciiTheme="minorEastAsia" w:hAnsiTheme="minorEastAsia"/>
          <w:b/>
          <w:kern w:val="0"/>
          <w:szCs w:val="21"/>
          <w:highlight w:val="none"/>
        </w:rPr>
        <w:t>十四、理财收益分配</w:t>
      </w:r>
    </w:p>
    <w:p>
      <w:pPr>
        <w:widowControl/>
        <w:spacing w:before="17" w:line="380" w:lineRule="atLeast"/>
        <w:ind w:firstLine="422"/>
        <w:rPr>
          <w:rFonts w:ascii="宋体" w:hAnsi="宋体" w:cs="宋体"/>
          <w:bCs/>
          <w:color w:val="000000"/>
          <w:szCs w:val="21"/>
          <w:highlight w:val="none"/>
          <w:lang w:bidi="ar"/>
        </w:rPr>
      </w:pPr>
      <w:r>
        <w:rPr>
          <w:rFonts w:ascii="宋体" w:hAnsi="宋体" w:cs="宋体"/>
          <w:bCs/>
          <w:color w:val="000000"/>
          <w:szCs w:val="21"/>
          <w:highlight w:val="none"/>
          <w:lang w:bidi="ar"/>
        </w:rPr>
        <w:t>1.投资者持有本理财产品期间及</w:t>
      </w:r>
      <w:r>
        <w:rPr>
          <w:rFonts w:hint="eastAsia" w:ascii="宋体" w:hAnsi="宋体" w:cs="宋体"/>
          <w:bCs/>
          <w:color w:val="000000"/>
          <w:szCs w:val="21"/>
          <w:highlight w:val="none"/>
          <w:lang w:bidi="ar"/>
        </w:rPr>
        <w:t>终止</w:t>
      </w:r>
      <w:r>
        <w:rPr>
          <w:rFonts w:ascii="宋体" w:hAnsi="宋体" w:cs="宋体"/>
          <w:bCs/>
          <w:color w:val="000000"/>
          <w:szCs w:val="21"/>
          <w:highlight w:val="none"/>
          <w:lang w:bidi="ar"/>
        </w:rPr>
        <w:t>时，</w:t>
      </w:r>
      <w:r>
        <w:rPr>
          <w:rFonts w:hint="eastAsia" w:ascii="宋体" w:hAnsi="宋体" w:cs="宋体"/>
          <w:b/>
          <w:color w:val="000000"/>
          <w:szCs w:val="21"/>
          <w:highlight w:val="none"/>
          <w:lang w:bidi="ar"/>
        </w:rPr>
        <w:t>产品管理人不承诺保证投资本金安全且不保</w:t>
      </w:r>
      <w:bookmarkStart w:id="9" w:name="_Hlk114395078"/>
      <w:r>
        <w:rPr>
          <w:rFonts w:hint="eastAsia" w:ascii="宋体" w:hAnsi="宋体" w:cs="宋体"/>
          <w:b/>
          <w:color w:val="000000"/>
          <w:szCs w:val="21"/>
          <w:highlight w:val="none"/>
          <w:lang w:bidi="ar"/>
        </w:rPr>
        <w:t>证理财收益，投资者收益（如有）随理财产品的投资盈亏水平浮动</w:t>
      </w:r>
      <w:r>
        <w:rPr>
          <w:rFonts w:hint="eastAsia" w:ascii="宋体" w:hAnsi="宋体" w:cs="宋体"/>
          <w:bCs/>
          <w:color w:val="000000"/>
          <w:szCs w:val="21"/>
          <w:highlight w:val="none"/>
          <w:lang w:bidi="ar"/>
        </w:rPr>
        <w:t>。</w:t>
      </w:r>
    </w:p>
    <w:p>
      <w:pPr>
        <w:widowControl/>
        <w:spacing w:before="17" w:line="380" w:lineRule="atLeast"/>
        <w:ind w:firstLine="422"/>
        <w:rPr>
          <w:rFonts w:ascii="宋体" w:hAnsi="宋体" w:cs="宋体"/>
          <w:bCs/>
          <w:color w:val="000000"/>
          <w:szCs w:val="21"/>
          <w:highlight w:val="none"/>
          <w:lang w:bidi="ar"/>
        </w:rPr>
      </w:pPr>
      <w:r>
        <w:rPr>
          <w:rFonts w:ascii="宋体" w:hAnsi="宋体" w:cs="宋体"/>
          <w:bCs/>
          <w:color w:val="000000"/>
          <w:szCs w:val="21"/>
          <w:highlight w:val="none"/>
          <w:lang w:bidi="ar"/>
        </w:rPr>
        <w:t>2.</w:t>
      </w:r>
      <w:r>
        <w:rPr>
          <w:rFonts w:ascii="宋体" w:hAnsi="宋体" w:cs="宋体"/>
          <w:b/>
          <w:color w:val="000000"/>
          <w:szCs w:val="21"/>
          <w:highlight w:val="none"/>
          <w:lang w:bidi="ar"/>
        </w:rPr>
        <w:t>就终止分配而言，</w:t>
      </w:r>
      <w:r>
        <w:rPr>
          <w:rFonts w:ascii="宋体" w:hAnsi="宋体" w:cs="宋体"/>
          <w:bCs/>
          <w:color w:val="000000"/>
          <w:szCs w:val="21"/>
          <w:highlight w:val="none"/>
          <w:lang w:bidi="ar"/>
        </w:rPr>
        <w:t>在理财产品终止日如理财产品项下财产全部变现，</w:t>
      </w:r>
      <w:r>
        <w:rPr>
          <w:rFonts w:hint="eastAsia" w:ascii="宋体" w:hAnsi="宋体" w:cs="宋体"/>
          <w:bCs/>
          <w:color w:val="000000"/>
          <w:szCs w:val="21"/>
          <w:highlight w:val="none"/>
          <w:lang w:bidi="ar"/>
        </w:rPr>
        <w:t>产品</w:t>
      </w:r>
      <w:r>
        <w:rPr>
          <w:rFonts w:ascii="宋体" w:hAnsi="宋体" w:cs="宋体"/>
          <w:bCs/>
          <w:color w:val="000000"/>
          <w:szCs w:val="21"/>
          <w:highlight w:val="none"/>
          <w:lang w:bidi="ar"/>
        </w:rPr>
        <w:t>管理人在理财产品终止日后的</w:t>
      </w:r>
      <w:r>
        <w:rPr>
          <w:rFonts w:hint="eastAsia" w:ascii="宋体" w:hAnsi="宋体" w:cs="宋体"/>
          <w:bCs/>
          <w:color w:val="000000"/>
          <w:szCs w:val="21"/>
          <w:highlight w:val="none"/>
          <w:lang w:bidi="ar"/>
        </w:rPr>
        <w:t>【</w:t>
      </w:r>
      <w:r>
        <w:rPr>
          <w:rFonts w:hint="eastAsia" w:ascii="宋体" w:hAnsi="宋体" w:cs="宋体"/>
          <w:bCs/>
          <w:color w:val="000000"/>
          <w:szCs w:val="21"/>
          <w:highlight w:val="none"/>
          <w:lang w:val="en-US" w:eastAsia="zh-CN" w:bidi="ar"/>
        </w:rPr>
        <w:t>3</w:t>
      </w:r>
      <w:r>
        <w:rPr>
          <w:rFonts w:hint="eastAsia" w:ascii="宋体" w:hAnsi="宋体" w:cs="宋体"/>
          <w:bCs/>
          <w:color w:val="000000"/>
          <w:szCs w:val="21"/>
          <w:highlight w:val="none"/>
          <w:lang w:bidi="ar"/>
        </w:rPr>
        <w:t>】</w:t>
      </w:r>
      <w:r>
        <w:rPr>
          <w:rFonts w:ascii="宋体" w:hAnsi="宋体" w:cs="宋体"/>
          <w:bCs/>
          <w:color w:val="000000"/>
          <w:szCs w:val="21"/>
          <w:highlight w:val="none"/>
          <w:lang w:bidi="ar"/>
        </w:rPr>
        <w:t>个工作日内扣除应由理财产品承担的税费及费用（包括但不限于</w:t>
      </w:r>
      <w:r>
        <w:rPr>
          <w:rFonts w:hint="eastAsia" w:ascii="宋体" w:hAnsi="宋体" w:cs="宋体"/>
          <w:bCs/>
          <w:color w:val="000000"/>
          <w:szCs w:val="21"/>
          <w:highlight w:val="none"/>
          <w:lang w:bidi="ar"/>
        </w:rPr>
        <w:t>固定</w:t>
      </w:r>
      <w:r>
        <w:rPr>
          <w:rFonts w:ascii="宋体" w:hAnsi="宋体" w:cs="宋体"/>
          <w:bCs/>
          <w:color w:val="000000"/>
          <w:szCs w:val="21"/>
          <w:highlight w:val="none"/>
          <w:lang w:bidi="ar"/>
        </w:rPr>
        <w:t>管理费、托管费、销售服务费</w:t>
      </w:r>
      <w:r>
        <w:rPr>
          <w:rFonts w:hint="eastAsia" w:ascii="宋体" w:hAnsi="宋体" w:cs="宋体"/>
          <w:bCs/>
          <w:color w:val="000000"/>
          <w:szCs w:val="21"/>
          <w:highlight w:val="none"/>
          <w:lang w:bidi="ar"/>
        </w:rPr>
        <w:t>、浮动管理费（如有）</w:t>
      </w:r>
      <w:r>
        <w:rPr>
          <w:rFonts w:ascii="宋体" w:hAnsi="宋体" w:cs="宋体"/>
          <w:bCs/>
          <w:color w:val="000000"/>
          <w:szCs w:val="21"/>
          <w:highlight w:val="none"/>
          <w:lang w:bidi="ar"/>
        </w:rPr>
        <w:t>等）后将投资者应得资金（如有，下同）通过代理销售机构划转至投资者指定账户。</w:t>
      </w:r>
      <w:r>
        <w:rPr>
          <w:rFonts w:hint="eastAsia" w:ascii="宋体" w:hAnsi="宋体" w:cs="宋体"/>
          <w:b/>
          <w:color w:val="000000"/>
          <w:szCs w:val="21"/>
          <w:highlight w:val="none"/>
          <w:lang w:bidi="ar"/>
        </w:rPr>
        <w:t>如代理销售机构对到账账户、到账日、到账时间另有规定的，投资者理财的本金及收益（如有）的具体到账账户、到账日及到账时间以代理销售机构的规定为准。</w:t>
      </w:r>
    </w:p>
    <w:p>
      <w:pPr>
        <w:widowControl/>
        <w:spacing w:before="17" w:line="380" w:lineRule="atLeast"/>
        <w:ind w:firstLine="422"/>
        <w:rPr>
          <w:rFonts w:ascii="宋体" w:hAnsi="宋体" w:cs="宋体"/>
          <w:b/>
          <w:color w:val="000000"/>
          <w:szCs w:val="21"/>
          <w:highlight w:val="none"/>
          <w:lang w:bidi="ar"/>
        </w:rPr>
      </w:pPr>
      <w:r>
        <w:rPr>
          <w:rFonts w:ascii="宋体" w:hAnsi="宋体" w:cs="宋体"/>
          <w:b/>
          <w:color w:val="000000"/>
          <w:szCs w:val="21"/>
          <w:highlight w:val="none"/>
          <w:lang w:bidi="ar"/>
        </w:rPr>
        <w:t>3.理财产品终止日，如理财产品项下所投资的标的资产因市场风险、信用风险等原因不能全部变现，则管理人将现金类资产扣除应由理财产品承担的税费及费用（包括但不限于</w:t>
      </w:r>
      <w:r>
        <w:rPr>
          <w:rFonts w:hint="eastAsia" w:ascii="宋体" w:hAnsi="宋体" w:cs="宋体"/>
          <w:b/>
          <w:color w:val="000000"/>
          <w:szCs w:val="21"/>
          <w:highlight w:val="none"/>
          <w:lang w:bidi="ar"/>
        </w:rPr>
        <w:t>固定</w:t>
      </w:r>
      <w:r>
        <w:rPr>
          <w:rFonts w:ascii="宋体" w:hAnsi="宋体" w:cs="宋体"/>
          <w:b/>
          <w:color w:val="000000"/>
          <w:szCs w:val="21"/>
          <w:highlight w:val="none"/>
          <w:lang w:bidi="ar"/>
        </w:rPr>
        <w:t>管理费、销售服务费、托管费</w:t>
      </w:r>
      <w:r>
        <w:rPr>
          <w:rFonts w:hint="eastAsia" w:ascii="宋体" w:hAnsi="宋体" w:cs="宋体"/>
          <w:b/>
          <w:color w:val="000000"/>
          <w:szCs w:val="21"/>
          <w:highlight w:val="none"/>
          <w:lang w:bidi="ar"/>
        </w:rPr>
        <w:t>、浮动管理费（如有）</w:t>
      </w:r>
      <w:r>
        <w:rPr>
          <w:rFonts w:ascii="宋体" w:hAnsi="宋体" w:cs="宋体"/>
          <w:b/>
          <w:color w:val="000000"/>
          <w:szCs w:val="21"/>
          <w:highlight w:val="none"/>
          <w:lang w:bidi="ar"/>
        </w:rPr>
        <w:t>等）后，按照各投资者持有理财产品份额比例在</w:t>
      </w:r>
      <w:r>
        <w:rPr>
          <w:rFonts w:hint="eastAsia" w:ascii="宋体" w:hAnsi="宋体" w:cs="宋体"/>
          <w:b/>
          <w:color w:val="000000"/>
          <w:szCs w:val="21"/>
          <w:highlight w:val="none"/>
          <w:lang w:bidi="ar"/>
        </w:rPr>
        <w:t>【</w:t>
      </w:r>
      <w:r>
        <w:rPr>
          <w:rFonts w:hint="eastAsia" w:ascii="宋体" w:hAnsi="宋体" w:cs="宋体"/>
          <w:b/>
          <w:color w:val="000000"/>
          <w:szCs w:val="21"/>
          <w:highlight w:val="none"/>
          <w:lang w:val="en-US" w:eastAsia="zh-CN" w:bidi="ar"/>
        </w:rPr>
        <w:t>3</w:t>
      </w:r>
      <w:r>
        <w:rPr>
          <w:rFonts w:hint="eastAsia" w:ascii="宋体" w:hAnsi="宋体" w:cs="宋体"/>
          <w:b/>
          <w:color w:val="000000"/>
          <w:szCs w:val="21"/>
          <w:highlight w:val="none"/>
          <w:lang w:bidi="ar"/>
        </w:rPr>
        <w:t>】</w:t>
      </w:r>
      <w:r>
        <w:rPr>
          <w:rFonts w:ascii="宋体" w:hAnsi="宋体" w:cs="宋体"/>
          <w:b/>
          <w:color w:val="000000"/>
          <w:szCs w:val="21"/>
          <w:highlight w:val="none"/>
          <w:lang w:bidi="ar"/>
        </w:rPr>
        <w:t>个工作日内向投资者分配。对于未变现资产部分，管理人以投资者利益最大化的原则，寻求未变现资产变现方式，在资产变现后，扣除应由理财产品承担的费用（包括但不限于</w:t>
      </w:r>
      <w:r>
        <w:rPr>
          <w:rFonts w:hint="eastAsia" w:ascii="宋体" w:hAnsi="宋体" w:cs="宋体"/>
          <w:b/>
          <w:color w:val="000000"/>
          <w:szCs w:val="21"/>
          <w:highlight w:val="none"/>
          <w:lang w:bidi="ar"/>
        </w:rPr>
        <w:t>固定</w:t>
      </w:r>
      <w:r>
        <w:rPr>
          <w:rFonts w:ascii="宋体" w:hAnsi="宋体" w:cs="宋体"/>
          <w:b/>
          <w:color w:val="000000"/>
          <w:szCs w:val="21"/>
          <w:highlight w:val="none"/>
          <w:lang w:bidi="ar"/>
        </w:rPr>
        <w:t>管理费、托管费、销售服务费</w:t>
      </w:r>
      <w:r>
        <w:rPr>
          <w:rFonts w:hint="eastAsia" w:ascii="宋体" w:hAnsi="宋体" w:cs="宋体"/>
          <w:b/>
          <w:color w:val="000000"/>
          <w:szCs w:val="21"/>
          <w:highlight w:val="none"/>
          <w:lang w:bidi="ar"/>
        </w:rPr>
        <w:t>、浮动管理费（如有）</w:t>
      </w:r>
      <w:r>
        <w:rPr>
          <w:rFonts w:ascii="宋体" w:hAnsi="宋体" w:cs="宋体"/>
          <w:b/>
          <w:color w:val="000000"/>
          <w:szCs w:val="21"/>
          <w:highlight w:val="none"/>
          <w:lang w:bidi="ar"/>
        </w:rPr>
        <w:t>等，</w:t>
      </w:r>
      <w:r>
        <w:rPr>
          <w:rFonts w:hint="eastAsia" w:ascii="宋体" w:hAnsi="宋体" w:cs="宋体"/>
          <w:b/>
          <w:color w:val="000000"/>
          <w:szCs w:val="21"/>
          <w:highlight w:val="none"/>
          <w:lang w:bidi="ar"/>
        </w:rPr>
        <w:t>以及</w:t>
      </w:r>
      <w:r>
        <w:rPr>
          <w:rFonts w:ascii="宋体" w:hAnsi="宋体" w:cs="宋体"/>
          <w:b/>
          <w:color w:val="000000"/>
          <w:szCs w:val="21"/>
          <w:highlight w:val="none"/>
          <w:lang w:bidi="ar"/>
        </w:rPr>
        <w:t>由</w:t>
      </w:r>
      <w:r>
        <w:rPr>
          <w:rFonts w:hint="eastAsia" w:ascii="宋体" w:hAnsi="宋体" w:cs="宋体"/>
          <w:b/>
          <w:color w:val="000000"/>
          <w:szCs w:val="21"/>
          <w:highlight w:val="none"/>
          <w:lang w:bidi="ar"/>
        </w:rPr>
        <w:t>产品</w:t>
      </w:r>
      <w:r>
        <w:rPr>
          <w:rFonts w:ascii="宋体" w:hAnsi="宋体" w:cs="宋体"/>
          <w:b/>
          <w:color w:val="000000"/>
          <w:szCs w:val="21"/>
          <w:highlight w:val="none"/>
          <w:lang w:bidi="ar"/>
        </w:rPr>
        <w:t>管理人、第三方垫付的费用）后，</w:t>
      </w:r>
      <w:r>
        <w:rPr>
          <w:rFonts w:hint="eastAsia" w:ascii="宋体" w:hAnsi="宋体" w:cs="宋体"/>
          <w:b/>
          <w:color w:val="000000"/>
          <w:szCs w:val="21"/>
          <w:highlight w:val="none"/>
          <w:lang w:bidi="ar"/>
        </w:rPr>
        <w:t>向终止日持有该理财产品的</w:t>
      </w:r>
      <w:r>
        <w:rPr>
          <w:rFonts w:ascii="宋体" w:hAnsi="宋体" w:cs="宋体"/>
          <w:b/>
          <w:color w:val="000000"/>
          <w:szCs w:val="21"/>
          <w:highlight w:val="none"/>
          <w:lang w:bidi="ar"/>
        </w:rPr>
        <w:t>投资者</w:t>
      </w:r>
      <w:r>
        <w:rPr>
          <w:rFonts w:hint="eastAsia" w:ascii="宋体" w:hAnsi="宋体" w:cs="宋体"/>
          <w:b/>
          <w:color w:val="000000"/>
          <w:szCs w:val="21"/>
          <w:highlight w:val="none"/>
          <w:lang w:bidi="ar"/>
        </w:rPr>
        <w:t>，按照其</w:t>
      </w:r>
      <w:r>
        <w:rPr>
          <w:rFonts w:ascii="宋体" w:hAnsi="宋体" w:cs="宋体"/>
          <w:b/>
          <w:color w:val="000000"/>
          <w:szCs w:val="21"/>
          <w:highlight w:val="none"/>
          <w:lang w:bidi="ar"/>
        </w:rPr>
        <w:t>持有理财产品份额比例在</w:t>
      </w:r>
      <w:r>
        <w:rPr>
          <w:rFonts w:hint="eastAsia" w:ascii="宋体" w:hAnsi="宋体" w:cs="宋体"/>
          <w:b/>
          <w:color w:val="000000"/>
          <w:szCs w:val="21"/>
          <w:highlight w:val="none"/>
          <w:lang w:bidi="ar"/>
        </w:rPr>
        <w:t>【</w:t>
      </w:r>
      <w:r>
        <w:rPr>
          <w:rFonts w:hint="eastAsia" w:ascii="宋体" w:hAnsi="宋体" w:cs="宋体"/>
          <w:b/>
          <w:color w:val="000000"/>
          <w:szCs w:val="21"/>
          <w:highlight w:val="none"/>
          <w:lang w:val="en-US" w:eastAsia="zh-CN" w:bidi="ar"/>
        </w:rPr>
        <w:t>3</w:t>
      </w:r>
      <w:r>
        <w:rPr>
          <w:rFonts w:hint="eastAsia" w:ascii="宋体" w:hAnsi="宋体" w:cs="宋体"/>
          <w:b/>
          <w:color w:val="000000"/>
          <w:szCs w:val="21"/>
          <w:highlight w:val="none"/>
          <w:lang w:bidi="ar"/>
        </w:rPr>
        <w:t>】</w:t>
      </w:r>
      <w:r>
        <w:rPr>
          <w:rFonts w:ascii="宋体" w:hAnsi="宋体" w:cs="宋体"/>
          <w:b/>
          <w:color w:val="000000"/>
          <w:szCs w:val="21"/>
          <w:highlight w:val="none"/>
          <w:lang w:bidi="ar"/>
        </w:rPr>
        <w:t>个工作日内向投资者分配。</w:t>
      </w:r>
    </w:p>
    <w:p>
      <w:pPr>
        <w:widowControl/>
        <w:spacing w:before="17" w:line="380" w:lineRule="atLeast"/>
        <w:ind w:firstLine="422"/>
        <w:rPr>
          <w:rFonts w:ascii="宋体" w:hAnsi="宋体" w:cs="宋体"/>
          <w:bCs/>
          <w:color w:val="000000"/>
          <w:szCs w:val="21"/>
          <w:highlight w:val="none"/>
          <w:lang w:bidi="ar"/>
        </w:rPr>
      </w:pPr>
      <w:r>
        <w:rPr>
          <w:rFonts w:ascii="宋体" w:hAnsi="宋体" w:cs="宋体"/>
          <w:bCs/>
          <w:color w:val="000000"/>
          <w:szCs w:val="21"/>
          <w:highlight w:val="none"/>
          <w:lang w:bidi="ar"/>
        </w:rPr>
        <w:t>4.理财产品项下财产正常变现情况下，投资者理财产品终止日可得资金（如有，下同）计算公式如下：</w:t>
      </w:r>
    </w:p>
    <w:p>
      <w:pPr>
        <w:widowControl/>
        <w:spacing w:before="17" w:line="380" w:lineRule="atLeast"/>
        <w:ind w:firstLine="422"/>
        <w:rPr>
          <w:rFonts w:ascii="宋体" w:hAnsi="宋体" w:cs="宋体"/>
          <w:b/>
          <w:color w:val="000000"/>
          <w:szCs w:val="21"/>
          <w:highlight w:val="none"/>
          <w:lang w:bidi="ar"/>
        </w:rPr>
      </w:pPr>
      <w:r>
        <w:rPr>
          <w:rFonts w:hint="eastAsia" w:ascii="宋体" w:hAnsi="宋体" w:cs="宋体"/>
          <w:b/>
          <w:color w:val="000000"/>
          <w:szCs w:val="21"/>
          <w:highlight w:val="none"/>
          <w:lang w:bidi="ar"/>
        </w:rPr>
        <w:t>投资者可得资金</w:t>
      </w:r>
      <w:r>
        <w:rPr>
          <w:rFonts w:ascii="宋体" w:hAnsi="宋体" w:cs="宋体"/>
          <w:b/>
          <w:color w:val="000000"/>
          <w:szCs w:val="21"/>
          <w:highlight w:val="none"/>
          <w:lang w:bidi="ar"/>
        </w:rPr>
        <w:t>=</w:t>
      </w:r>
      <w:r>
        <w:rPr>
          <w:rFonts w:hint="eastAsia" w:ascii="宋体" w:hAnsi="宋体" w:cs="宋体"/>
          <w:b/>
          <w:color w:val="000000"/>
          <w:szCs w:val="21"/>
          <w:highlight w:val="none"/>
          <w:lang w:bidi="ar"/>
        </w:rPr>
        <w:t>（投资者理财产品终止日持有理财产品份额</w:t>
      </w:r>
      <w:r>
        <w:rPr>
          <w:rFonts w:ascii="Arial" w:hAnsi="Arial" w:cs="Arial"/>
          <w:b/>
          <w:color w:val="000000"/>
          <w:szCs w:val="21"/>
          <w:highlight w:val="none"/>
          <w:lang w:bidi="ar"/>
        </w:rPr>
        <w:t>÷</w:t>
      </w:r>
      <w:r>
        <w:rPr>
          <w:rFonts w:hint="eastAsia" w:ascii="宋体" w:hAnsi="宋体" w:cs="宋体"/>
          <w:b/>
          <w:color w:val="000000"/>
          <w:szCs w:val="21"/>
          <w:highlight w:val="none"/>
          <w:lang w:bidi="ar"/>
        </w:rPr>
        <w:t>理财产品终止日总份额）</w:t>
      </w:r>
      <w:r>
        <w:rPr>
          <w:rFonts w:ascii="Arial" w:hAnsi="Arial" w:cs="Arial"/>
          <w:b/>
          <w:color w:val="000000"/>
          <w:szCs w:val="21"/>
          <w:highlight w:val="none"/>
          <w:lang w:bidi="ar"/>
        </w:rPr>
        <w:t>×</w:t>
      </w:r>
      <w:r>
        <w:rPr>
          <w:rFonts w:hint="eastAsia" w:ascii="宋体" w:hAnsi="宋体" w:cs="宋体"/>
          <w:b/>
          <w:color w:val="000000"/>
          <w:szCs w:val="21"/>
          <w:highlight w:val="none"/>
          <w:lang w:bidi="ar"/>
        </w:rPr>
        <w:t>[理财产品总财产-理财产品应承担的费用-理财产品应承担的税费（如有）]</w:t>
      </w:r>
    </w:p>
    <w:p>
      <w:pPr>
        <w:widowControl/>
        <w:spacing w:before="17" w:line="380" w:lineRule="atLeast"/>
        <w:ind w:firstLine="422"/>
        <w:rPr>
          <w:rFonts w:ascii="宋体" w:hAnsi="宋体" w:cs="宋体"/>
          <w:bCs/>
          <w:color w:val="000000"/>
          <w:szCs w:val="21"/>
          <w:highlight w:val="none"/>
          <w:lang w:bidi="ar"/>
        </w:rPr>
      </w:pPr>
      <w:r>
        <w:rPr>
          <w:rFonts w:hint="eastAsia" w:ascii="宋体" w:hAnsi="宋体" w:cs="宋体"/>
          <w:bCs/>
          <w:color w:val="000000"/>
          <w:szCs w:val="21"/>
          <w:highlight w:val="none"/>
          <w:lang w:bidi="ar"/>
        </w:rPr>
        <w:t>应付浮动管理费（如有）根据投资者理财产品终止日的实际收益计算，计算公式详见</w:t>
      </w:r>
      <w:r>
        <w:rPr>
          <w:rFonts w:hint="eastAsia" w:ascii="宋体" w:hAnsi="宋体" w:cs="宋体"/>
          <w:b/>
          <w:color w:val="000000"/>
          <w:szCs w:val="21"/>
          <w:highlight w:val="none"/>
          <w:lang w:bidi="ar"/>
        </w:rPr>
        <w:t>“理财产品费用”</w:t>
      </w:r>
      <w:r>
        <w:rPr>
          <w:rFonts w:hint="eastAsia" w:ascii="宋体" w:hAnsi="宋体" w:cs="宋体"/>
          <w:bCs/>
          <w:color w:val="000000"/>
          <w:szCs w:val="21"/>
          <w:highlight w:val="none"/>
          <w:lang w:bidi="ar"/>
        </w:rPr>
        <w:t>。</w:t>
      </w:r>
    </w:p>
    <w:p>
      <w:pPr>
        <w:widowControl/>
        <w:spacing w:before="17" w:line="380" w:lineRule="atLeast"/>
        <w:ind w:firstLine="422"/>
        <w:rPr>
          <w:rFonts w:ascii="宋体" w:hAnsi="宋体" w:cs="宋体"/>
          <w:bCs/>
          <w:color w:val="000000"/>
          <w:szCs w:val="21"/>
          <w:highlight w:val="none"/>
          <w:lang w:bidi="ar"/>
        </w:rPr>
      </w:pPr>
      <w:r>
        <w:rPr>
          <w:rFonts w:hint="eastAsia" w:ascii="宋体" w:hAnsi="宋体" w:cs="宋体"/>
          <w:bCs/>
          <w:color w:val="000000"/>
          <w:szCs w:val="21"/>
          <w:highlight w:val="none"/>
          <w:lang w:bidi="ar"/>
        </w:rPr>
        <w:t>如因理财产品所投资的标的资产因市场风险、信用风险等原因，导致资产无法在理财产品终止日内变现，则投资者应得资金为理财产品实际资产变现金额扣除应由理财产品承担的费用、税费后的剩余金额。</w:t>
      </w:r>
    </w:p>
    <w:bookmarkEnd w:id="9"/>
    <w:p>
      <w:pPr>
        <w:spacing w:line="360" w:lineRule="auto"/>
        <w:ind w:firstLine="422" w:firstLineChars="200"/>
        <w:outlineLvl w:val="1"/>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十五、风险与收益测算示例</w:t>
      </w:r>
    </w:p>
    <w:p>
      <w:pPr>
        <w:adjustRightInd w:val="0"/>
        <w:snapToGrid w:val="0"/>
        <w:spacing w:line="520" w:lineRule="exact"/>
        <w:ind w:firstLine="422" w:firstLineChars="200"/>
        <w:rPr>
          <w:rFonts w:ascii="宋体" w:hAnsi="宋体"/>
          <w:b/>
          <w:szCs w:val="21"/>
          <w:highlight w:val="none"/>
        </w:rPr>
      </w:pPr>
      <w:r>
        <w:rPr>
          <w:rFonts w:hint="eastAsia" w:ascii="宋体" w:hAnsi="宋体"/>
          <w:b/>
          <w:szCs w:val="21"/>
          <w:highlight w:val="none"/>
        </w:rPr>
        <w:t>（一）收益分析</w:t>
      </w:r>
    </w:p>
    <w:p>
      <w:pPr>
        <w:adjustRightInd w:val="0"/>
        <w:snapToGrid w:val="0"/>
        <w:spacing w:line="520" w:lineRule="exact"/>
        <w:ind w:firstLine="422" w:firstLineChars="200"/>
        <w:rPr>
          <w:rFonts w:ascii="宋体" w:hAnsi="宋体"/>
          <w:b/>
          <w:szCs w:val="21"/>
          <w:highlight w:val="none"/>
        </w:rPr>
      </w:pPr>
      <w:r>
        <w:rPr>
          <w:rFonts w:hint="eastAsia" w:ascii="宋体" w:hAnsi="宋体"/>
          <w:b/>
          <w:szCs w:val="21"/>
          <w:highlight w:val="none"/>
        </w:rPr>
        <w:t>1.投资者所得收益</w:t>
      </w:r>
    </w:p>
    <w:p>
      <w:pPr>
        <w:adjustRightInd w:val="0"/>
        <w:snapToGrid w:val="0"/>
        <w:spacing w:line="520" w:lineRule="exact"/>
        <w:ind w:firstLine="422" w:firstLineChars="200"/>
        <w:rPr>
          <w:rFonts w:ascii="宋体" w:hAnsi="宋体"/>
          <w:b/>
          <w:szCs w:val="21"/>
          <w:highlight w:val="none"/>
        </w:rPr>
      </w:pPr>
      <w:r>
        <w:rPr>
          <w:rFonts w:hint="eastAsia" w:ascii="宋体" w:hAnsi="宋体"/>
          <w:b/>
          <w:szCs w:val="21"/>
          <w:highlight w:val="none"/>
        </w:rPr>
        <w:t>计算公式</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（1）</w:t>
      </w:r>
      <w:r>
        <w:rPr>
          <w:rFonts w:ascii="宋体" w:hAnsi="宋体"/>
          <w:sz w:val="21"/>
          <w:szCs w:val="21"/>
          <w:highlight w:val="none"/>
        </w:rPr>
        <w:t>投资者当日持有的本</w:t>
      </w:r>
      <w:r>
        <w:rPr>
          <w:rFonts w:hint="eastAsia" w:ascii="宋体" w:hAnsi="宋体"/>
          <w:sz w:val="21"/>
          <w:szCs w:val="21"/>
          <w:highlight w:val="none"/>
        </w:rPr>
        <w:t>产品</w:t>
      </w:r>
      <w:r>
        <w:rPr>
          <w:rFonts w:ascii="宋体" w:hAnsi="宋体"/>
          <w:sz w:val="21"/>
          <w:szCs w:val="21"/>
          <w:highlight w:val="none"/>
        </w:rPr>
        <w:t>余额=投资者上一日持有的本</w:t>
      </w:r>
      <w:r>
        <w:rPr>
          <w:rFonts w:hint="eastAsia" w:ascii="宋体" w:hAnsi="宋体"/>
          <w:sz w:val="21"/>
          <w:szCs w:val="21"/>
          <w:highlight w:val="none"/>
        </w:rPr>
        <w:t>产品</w:t>
      </w:r>
      <w:r>
        <w:rPr>
          <w:rFonts w:ascii="宋体" w:hAnsi="宋体"/>
          <w:sz w:val="21"/>
          <w:szCs w:val="21"/>
          <w:highlight w:val="none"/>
        </w:rPr>
        <w:t>余额+投资者当日</w:t>
      </w:r>
      <w:r>
        <w:rPr>
          <w:rFonts w:hint="eastAsia" w:ascii="宋体" w:hAnsi="宋体"/>
          <w:sz w:val="21"/>
          <w:szCs w:val="21"/>
          <w:highlight w:val="none"/>
        </w:rPr>
        <w:t>产品</w:t>
      </w:r>
      <w:r>
        <w:rPr>
          <w:rFonts w:ascii="宋体" w:hAnsi="宋体"/>
          <w:sz w:val="21"/>
          <w:szCs w:val="21"/>
          <w:highlight w:val="none"/>
        </w:rPr>
        <w:t>净申购额。</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（2）</w:t>
      </w:r>
      <w:r>
        <w:rPr>
          <w:rFonts w:ascii="宋体" w:hAnsi="宋体"/>
          <w:sz w:val="21"/>
          <w:szCs w:val="21"/>
          <w:highlight w:val="none"/>
        </w:rPr>
        <w:t>投资者当日</w:t>
      </w:r>
      <w:r>
        <w:rPr>
          <w:rFonts w:hint="eastAsia" w:ascii="宋体" w:hAnsi="宋体"/>
          <w:sz w:val="21"/>
          <w:szCs w:val="21"/>
          <w:highlight w:val="none"/>
        </w:rPr>
        <w:t>产品</w:t>
      </w:r>
      <w:r>
        <w:rPr>
          <w:rFonts w:ascii="宋体" w:hAnsi="宋体"/>
          <w:sz w:val="21"/>
          <w:szCs w:val="21"/>
          <w:highlight w:val="none"/>
        </w:rPr>
        <w:t>净申购额=投资者当日</w:t>
      </w:r>
      <w:r>
        <w:rPr>
          <w:rFonts w:hint="eastAsia" w:ascii="宋体" w:hAnsi="宋体"/>
          <w:sz w:val="21"/>
          <w:szCs w:val="21"/>
          <w:highlight w:val="none"/>
        </w:rPr>
        <w:t>生效的产品</w:t>
      </w:r>
      <w:r>
        <w:rPr>
          <w:rFonts w:ascii="宋体" w:hAnsi="宋体"/>
          <w:sz w:val="21"/>
          <w:szCs w:val="21"/>
          <w:highlight w:val="none"/>
        </w:rPr>
        <w:t>申购总额-投资者</w:t>
      </w:r>
      <w:r>
        <w:rPr>
          <w:rFonts w:hint="eastAsia" w:ascii="宋体" w:hAnsi="宋体"/>
          <w:sz w:val="21"/>
          <w:szCs w:val="21"/>
          <w:highlight w:val="none"/>
        </w:rPr>
        <w:t>当日生效的</w:t>
      </w:r>
      <w:r>
        <w:rPr>
          <w:rFonts w:ascii="宋体" w:hAnsi="宋体"/>
          <w:sz w:val="21"/>
          <w:szCs w:val="21"/>
          <w:highlight w:val="none"/>
        </w:rPr>
        <w:t>赎回总额</w:t>
      </w:r>
      <w:r>
        <w:rPr>
          <w:rFonts w:hint="eastAsia" w:ascii="宋体" w:hAnsi="宋体"/>
          <w:sz w:val="21"/>
          <w:szCs w:val="21"/>
          <w:highlight w:val="none"/>
        </w:rPr>
        <w:t>+</w:t>
      </w:r>
      <w:r>
        <w:rPr>
          <w:rFonts w:ascii="宋体" w:hAnsi="宋体"/>
          <w:sz w:val="21"/>
          <w:szCs w:val="21"/>
          <w:highlight w:val="none"/>
        </w:rPr>
        <w:t>当日</w:t>
      </w:r>
      <w:r>
        <w:rPr>
          <w:rFonts w:hint="eastAsia" w:ascii="宋体" w:hAnsi="宋体"/>
          <w:sz w:val="21"/>
          <w:szCs w:val="21"/>
          <w:highlight w:val="none"/>
        </w:rPr>
        <w:t>红利再投</w:t>
      </w:r>
      <w:r>
        <w:rPr>
          <w:rFonts w:ascii="宋体" w:hAnsi="宋体"/>
          <w:sz w:val="21"/>
          <w:szCs w:val="21"/>
          <w:highlight w:val="none"/>
        </w:rPr>
        <w:t>结转的</w:t>
      </w:r>
      <w:r>
        <w:rPr>
          <w:rFonts w:hint="eastAsia" w:ascii="宋体" w:hAnsi="宋体"/>
          <w:sz w:val="21"/>
          <w:szCs w:val="21"/>
          <w:highlight w:val="none"/>
        </w:rPr>
        <w:t>总</w:t>
      </w:r>
      <w:r>
        <w:rPr>
          <w:rFonts w:ascii="宋体" w:hAnsi="宋体"/>
          <w:sz w:val="21"/>
          <w:szCs w:val="21"/>
          <w:highlight w:val="none"/>
        </w:rPr>
        <w:t>额</w:t>
      </w:r>
      <w:r>
        <w:rPr>
          <w:rFonts w:hint="eastAsia" w:ascii="宋体" w:hAnsi="宋体"/>
          <w:sz w:val="21"/>
          <w:szCs w:val="21"/>
          <w:highlight w:val="none"/>
        </w:rPr>
        <w:t>。</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（3）</w:t>
      </w:r>
      <w:r>
        <w:rPr>
          <w:rFonts w:ascii="宋体" w:hAnsi="宋体"/>
          <w:sz w:val="21"/>
          <w:szCs w:val="21"/>
          <w:highlight w:val="none"/>
        </w:rPr>
        <w:t>投资者当日持有的</w:t>
      </w:r>
      <w:r>
        <w:rPr>
          <w:rFonts w:hint="eastAsia" w:ascii="宋体" w:hAnsi="宋体"/>
          <w:sz w:val="21"/>
          <w:szCs w:val="21"/>
          <w:highlight w:val="none"/>
        </w:rPr>
        <w:t>产品</w:t>
      </w:r>
      <w:r>
        <w:rPr>
          <w:rFonts w:ascii="宋体" w:hAnsi="宋体"/>
          <w:sz w:val="21"/>
          <w:szCs w:val="21"/>
          <w:highlight w:val="none"/>
        </w:rPr>
        <w:t>余额以</w:t>
      </w:r>
      <w:r>
        <w:rPr>
          <w:rFonts w:hint="eastAsia" w:ascii="宋体" w:hAnsi="宋体"/>
          <w:sz w:val="21"/>
          <w:szCs w:val="21"/>
          <w:highlight w:val="none"/>
        </w:rPr>
        <w:t>产品管理人</w:t>
      </w:r>
      <w:r>
        <w:rPr>
          <w:rFonts w:ascii="宋体" w:hAnsi="宋体"/>
          <w:sz w:val="21"/>
          <w:szCs w:val="21"/>
          <w:highlight w:val="none"/>
        </w:rPr>
        <w:t>理财系统完成当日清算后记录的余额数据为准。</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（4）</w:t>
      </w:r>
      <w:r>
        <w:rPr>
          <w:rFonts w:ascii="宋体" w:hAnsi="宋体"/>
          <w:sz w:val="21"/>
          <w:szCs w:val="21"/>
          <w:highlight w:val="none"/>
        </w:rPr>
        <w:t>投资者的当日理财收益=投资者当日持有的本理财产品余额</w:t>
      </w:r>
      <w:r>
        <w:rPr>
          <w:rFonts w:hint="eastAsia" w:ascii="宋体" w:hAnsi="宋体"/>
          <w:sz w:val="21"/>
          <w:szCs w:val="21"/>
          <w:highlight w:val="none"/>
        </w:rPr>
        <w:t>/10000</w:t>
      </w:r>
      <w:r>
        <w:rPr>
          <w:rFonts w:ascii="宋体" w:hAnsi="宋体"/>
          <w:sz w:val="21"/>
          <w:szCs w:val="21"/>
          <w:highlight w:val="none"/>
        </w:rPr>
        <w:t>×</w:t>
      </w:r>
      <w:r>
        <w:rPr>
          <w:rFonts w:hint="eastAsia" w:ascii="宋体" w:hAnsi="宋体"/>
          <w:sz w:val="21"/>
          <w:szCs w:val="21"/>
          <w:highlight w:val="none"/>
        </w:rPr>
        <w:t>当日理财产品每万份收益。</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投资者获得的人民币理财收益金额精确到小数点后</w:t>
      </w:r>
      <w:r>
        <w:rPr>
          <w:rFonts w:ascii="宋体" w:hAnsi="宋体"/>
          <w:sz w:val="21"/>
          <w:szCs w:val="21"/>
          <w:highlight w:val="none"/>
        </w:rPr>
        <w:t>2</w:t>
      </w:r>
      <w:r>
        <w:rPr>
          <w:rFonts w:hint="eastAsia" w:ascii="宋体" w:hAnsi="宋体"/>
          <w:sz w:val="21"/>
          <w:szCs w:val="21"/>
          <w:highlight w:val="none"/>
        </w:rPr>
        <w:t>位，小数点2位以后的部分四舍五入。</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（5）当日理财产品每万份收益=当日理财产品份额已实现收益/当日理财产品份额总额</w:t>
      </w:r>
      <w:r>
        <w:rPr>
          <w:rFonts w:ascii="宋体" w:hAnsi="宋体"/>
          <w:sz w:val="21"/>
          <w:szCs w:val="21"/>
          <w:highlight w:val="none"/>
        </w:rPr>
        <w:t>×</w:t>
      </w:r>
      <w:r>
        <w:rPr>
          <w:rFonts w:hint="eastAsia" w:ascii="宋体" w:hAnsi="宋体"/>
          <w:sz w:val="21"/>
          <w:szCs w:val="21"/>
          <w:highlight w:val="none"/>
        </w:rPr>
        <w:t>10000。</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上述计算结果精确到小数点后4位，小数点4位以后的部分四舍五入。</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（6）</w:t>
      </w:r>
      <w:r>
        <w:rPr>
          <w:rFonts w:ascii="宋体" w:hAnsi="宋体"/>
          <w:sz w:val="21"/>
          <w:szCs w:val="21"/>
          <w:highlight w:val="none"/>
        </w:rPr>
        <w:t>投资者总收益＝自</w:t>
      </w:r>
      <w:r>
        <w:rPr>
          <w:rFonts w:hint="eastAsia" w:ascii="宋体" w:hAnsi="宋体"/>
          <w:sz w:val="21"/>
          <w:szCs w:val="21"/>
          <w:highlight w:val="none"/>
        </w:rPr>
        <w:t>产品</w:t>
      </w:r>
      <w:r>
        <w:rPr>
          <w:rFonts w:ascii="宋体" w:hAnsi="宋体"/>
          <w:sz w:val="21"/>
          <w:szCs w:val="21"/>
          <w:highlight w:val="none"/>
        </w:rPr>
        <w:t>申购</w:t>
      </w:r>
      <w:r>
        <w:rPr>
          <w:rFonts w:hint="eastAsia" w:ascii="宋体" w:hAnsi="宋体"/>
          <w:sz w:val="21"/>
          <w:szCs w:val="21"/>
          <w:highlight w:val="none"/>
        </w:rPr>
        <w:t>确认</w:t>
      </w:r>
      <w:r>
        <w:rPr>
          <w:rFonts w:ascii="宋体" w:hAnsi="宋体"/>
          <w:sz w:val="21"/>
          <w:szCs w:val="21"/>
          <w:highlight w:val="none"/>
        </w:rPr>
        <w:t>日（如为</w:t>
      </w:r>
      <w:r>
        <w:rPr>
          <w:rFonts w:hint="eastAsia" w:ascii="宋体" w:hAnsi="宋体"/>
          <w:sz w:val="21"/>
          <w:szCs w:val="21"/>
          <w:highlight w:val="none"/>
        </w:rPr>
        <w:t>募集期</w:t>
      </w:r>
      <w:r>
        <w:rPr>
          <w:rFonts w:ascii="宋体" w:hAnsi="宋体"/>
          <w:sz w:val="21"/>
          <w:szCs w:val="21"/>
          <w:highlight w:val="none"/>
        </w:rPr>
        <w:t>认购则为</w:t>
      </w:r>
      <w:r>
        <w:rPr>
          <w:rFonts w:hint="eastAsia" w:ascii="宋体" w:hAnsi="宋体"/>
          <w:sz w:val="21"/>
          <w:szCs w:val="21"/>
          <w:highlight w:val="none"/>
        </w:rPr>
        <w:t>产品成立</w:t>
      </w:r>
      <w:r>
        <w:rPr>
          <w:rFonts w:ascii="宋体" w:hAnsi="宋体"/>
          <w:sz w:val="21"/>
          <w:szCs w:val="21"/>
          <w:highlight w:val="none"/>
        </w:rPr>
        <w:t>日）起至赎回日或</w:t>
      </w:r>
      <w:r>
        <w:rPr>
          <w:rFonts w:hint="eastAsia" w:ascii="宋体" w:hAnsi="宋体"/>
          <w:sz w:val="21"/>
          <w:szCs w:val="21"/>
          <w:highlight w:val="none"/>
        </w:rPr>
        <w:t>产品提前终止</w:t>
      </w:r>
      <w:r>
        <w:rPr>
          <w:rFonts w:ascii="宋体" w:hAnsi="宋体"/>
          <w:sz w:val="21"/>
          <w:szCs w:val="21"/>
          <w:highlight w:val="none"/>
        </w:rPr>
        <w:t>日（不含该日）期间相应</w:t>
      </w:r>
      <w:r>
        <w:rPr>
          <w:rFonts w:hint="eastAsia" w:ascii="宋体" w:hAnsi="宋体"/>
          <w:sz w:val="21"/>
          <w:szCs w:val="21"/>
          <w:highlight w:val="none"/>
        </w:rPr>
        <w:t>理财产品资金每日的当日</w:t>
      </w:r>
      <w:r>
        <w:rPr>
          <w:rFonts w:ascii="宋体" w:hAnsi="宋体"/>
          <w:sz w:val="21"/>
          <w:szCs w:val="21"/>
          <w:highlight w:val="none"/>
        </w:rPr>
        <w:t>理财收益之</w:t>
      </w:r>
      <w:r>
        <w:rPr>
          <w:rFonts w:hint="eastAsia" w:ascii="宋体" w:hAnsi="宋体"/>
          <w:sz w:val="21"/>
          <w:szCs w:val="21"/>
          <w:highlight w:val="none"/>
        </w:rPr>
        <w:t>总</w:t>
      </w:r>
      <w:r>
        <w:rPr>
          <w:rFonts w:ascii="宋体" w:hAnsi="宋体"/>
          <w:sz w:val="21"/>
          <w:szCs w:val="21"/>
          <w:highlight w:val="none"/>
        </w:rPr>
        <w:t>和</w:t>
      </w:r>
      <w:r>
        <w:rPr>
          <w:rFonts w:hint="eastAsia" w:ascii="宋体" w:hAnsi="宋体"/>
          <w:sz w:val="21"/>
          <w:szCs w:val="21"/>
          <w:highlight w:val="none"/>
        </w:rPr>
        <w:t>。</w:t>
      </w:r>
    </w:p>
    <w:p>
      <w:pPr>
        <w:pStyle w:val="2"/>
        <w:snapToGrid w:val="0"/>
        <w:spacing w:line="380" w:lineRule="exact"/>
        <w:ind w:left="181" w:leftChars="86" w:firstLine="360" w:firstLineChars="200"/>
        <w:rPr>
          <w:rFonts w:ascii="宋体" w:hAnsi="宋体"/>
          <w:sz w:val="21"/>
          <w:szCs w:val="21"/>
          <w:highlight w:val="none"/>
        </w:rPr>
      </w:pPr>
      <w:r>
        <w:rPr>
          <w:highlight w:val="none"/>
        </w:rPr>
        <w:drawing>
          <wp:anchor distT="0" distB="0" distL="114300" distR="114300" simplePos="0" relativeHeight="251659264" behindDoc="0" locked="0" layoutInCell="1" allowOverlap="1">
            <wp:simplePos x="0" y="0"/>
            <wp:positionH relativeFrom="column">
              <wp:posOffset>1790700</wp:posOffset>
            </wp:positionH>
            <wp:positionV relativeFrom="paragraph">
              <wp:posOffset>25400</wp:posOffset>
            </wp:positionV>
            <wp:extent cx="2171700" cy="45720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171700" cy="457200"/>
                    </a:xfrm>
                    <a:prstGeom prst="rect">
                      <a:avLst/>
                    </a:prstGeom>
                  </pic:spPr>
                </pic:pic>
              </a:graphicData>
            </a:graphic>
          </wp:anchor>
        </w:drawing>
      </w:r>
      <w:r>
        <w:rPr>
          <w:rFonts w:hint="eastAsia" w:ascii="宋体" w:hAnsi="宋体"/>
          <w:sz w:val="21"/>
          <w:szCs w:val="21"/>
          <w:highlight w:val="none"/>
        </w:rPr>
        <w:t>（7）七日年化收益率=</w:t>
      </w:r>
    </w:p>
    <w:p>
      <w:pPr>
        <w:pStyle w:val="2"/>
        <w:snapToGrid w:val="0"/>
        <w:spacing w:line="380" w:lineRule="exact"/>
        <w:ind w:left="181" w:leftChars="86" w:firstLine="420" w:firstLineChars="200"/>
        <w:rPr>
          <w:rFonts w:ascii="宋体" w:hAnsi="宋体"/>
          <w:sz w:val="21"/>
          <w:szCs w:val="21"/>
          <w:highlight w:val="none"/>
        </w:rPr>
      </w:pPr>
    </w:p>
    <w:p>
      <w:pPr>
        <w:pStyle w:val="2"/>
        <w:snapToGrid w:val="0"/>
        <w:spacing w:line="380" w:lineRule="exact"/>
        <w:ind w:left="181" w:leftChars="86" w:firstLine="420" w:firstLineChars="200"/>
        <w:rPr>
          <w:rFonts w:ascii="宋体" w:hAnsi="宋体"/>
          <w:sz w:val="21"/>
          <w:szCs w:val="21"/>
          <w:highlight w:val="none"/>
        </w:rPr>
      </w:pP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其中，Ri是最近第i个自然日（i=1,2,3…7）的每万份收益，七日年化收益率采取</w:t>
      </w:r>
      <w:r>
        <w:rPr>
          <w:rFonts w:hint="eastAsia" w:ascii="宋体" w:hAnsi="宋体"/>
          <w:sz w:val="21"/>
          <w:szCs w:val="21"/>
          <w:highlight w:val="none"/>
          <w:lang w:val="en-US" w:eastAsia="zh-CN"/>
        </w:rPr>
        <w:t>四舍五入</w:t>
      </w:r>
      <w:r>
        <w:rPr>
          <w:rFonts w:hint="eastAsia" w:ascii="宋体" w:hAnsi="宋体"/>
          <w:sz w:val="21"/>
          <w:szCs w:val="21"/>
          <w:highlight w:val="none"/>
        </w:rPr>
        <w:t>的方式保留百分号内小数点后2位，如不足7日，则采取实际日收益率折算为年化收益率的方式计算。</w:t>
      </w:r>
    </w:p>
    <w:p>
      <w:pPr>
        <w:adjustRightInd w:val="0"/>
        <w:snapToGrid w:val="0"/>
        <w:spacing w:line="520" w:lineRule="exact"/>
        <w:ind w:firstLine="422" w:firstLineChars="200"/>
        <w:rPr>
          <w:rFonts w:ascii="宋体" w:hAnsi="宋体"/>
          <w:b/>
          <w:szCs w:val="21"/>
          <w:highlight w:val="none"/>
        </w:rPr>
      </w:pPr>
      <w:r>
        <w:rPr>
          <w:rFonts w:hint="eastAsia" w:ascii="宋体" w:hAnsi="宋体"/>
          <w:b/>
          <w:szCs w:val="21"/>
          <w:highlight w:val="none"/>
        </w:rPr>
        <w:t>情景分析</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w:t>
      </w:r>
      <w:r>
        <w:rPr>
          <w:rFonts w:ascii="宋体" w:hAnsi="宋体"/>
          <w:sz w:val="21"/>
          <w:szCs w:val="21"/>
          <w:highlight w:val="none"/>
        </w:rPr>
        <w:t>1</w:t>
      </w:r>
      <w:r>
        <w:rPr>
          <w:rFonts w:hint="eastAsia" w:ascii="宋体" w:hAnsi="宋体"/>
          <w:sz w:val="21"/>
          <w:szCs w:val="21"/>
          <w:highlight w:val="none"/>
        </w:rPr>
        <w:t>）情景</w:t>
      </w:r>
      <w:r>
        <w:rPr>
          <w:rFonts w:ascii="宋体" w:hAnsi="宋体"/>
          <w:sz w:val="21"/>
          <w:szCs w:val="21"/>
          <w:highlight w:val="none"/>
        </w:rPr>
        <w:t>1</w:t>
      </w:r>
      <w:r>
        <w:rPr>
          <w:rFonts w:hint="eastAsia" w:ascii="宋体" w:hAnsi="宋体"/>
          <w:sz w:val="21"/>
          <w:szCs w:val="21"/>
          <w:highlight w:val="none"/>
        </w:rPr>
        <w:t>：</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投资者于</w:t>
      </w:r>
      <w:r>
        <w:rPr>
          <w:rFonts w:ascii="宋体" w:hAnsi="宋体"/>
          <w:sz w:val="21"/>
          <w:szCs w:val="21"/>
          <w:highlight w:val="none"/>
        </w:rPr>
        <w:t>2020</w:t>
      </w:r>
      <w:r>
        <w:rPr>
          <w:rFonts w:hint="eastAsia" w:ascii="宋体" w:hAnsi="宋体"/>
          <w:sz w:val="21"/>
          <w:szCs w:val="21"/>
          <w:highlight w:val="none"/>
        </w:rPr>
        <w:t>年</w:t>
      </w:r>
      <w:r>
        <w:rPr>
          <w:rFonts w:ascii="宋体" w:hAnsi="宋体"/>
          <w:sz w:val="21"/>
          <w:szCs w:val="21"/>
          <w:highlight w:val="none"/>
        </w:rPr>
        <w:t>6</w:t>
      </w:r>
      <w:r>
        <w:rPr>
          <w:rFonts w:hint="eastAsia" w:ascii="宋体" w:hAnsi="宋体"/>
          <w:sz w:val="21"/>
          <w:szCs w:val="21"/>
          <w:highlight w:val="none"/>
        </w:rPr>
        <w:t>月</w:t>
      </w:r>
      <w:r>
        <w:rPr>
          <w:rFonts w:ascii="宋体" w:hAnsi="宋体"/>
          <w:sz w:val="21"/>
          <w:szCs w:val="21"/>
          <w:highlight w:val="none"/>
        </w:rPr>
        <w:t>4</w:t>
      </w:r>
      <w:r>
        <w:rPr>
          <w:rFonts w:hint="eastAsia" w:ascii="宋体" w:hAnsi="宋体"/>
          <w:sz w:val="21"/>
          <w:szCs w:val="21"/>
          <w:highlight w:val="none"/>
        </w:rPr>
        <w:t>日认购理财产品</w:t>
      </w:r>
      <w:r>
        <w:rPr>
          <w:rFonts w:ascii="宋体" w:hAnsi="宋体"/>
          <w:sz w:val="21"/>
          <w:szCs w:val="21"/>
          <w:highlight w:val="none"/>
        </w:rPr>
        <w:t>5</w:t>
      </w:r>
      <w:r>
        <w:rPr>
          <w:rFonts w:hint="eastAsia" w:ascii="宋体" w:hAnsi="宋体"/>
          <w:sz w:val="21"/>
          <w:szCs w:val="21"/>
          <w:highlight w:val="none"/>
        </w:rPr>
        <w:t>万元，认购份额将于</w:t>
      </w:r>
      <w:r>
        <w:rPr>
          <w:rFonts w:ascii="宋体" w:hAnsi="宋体"/>
          <w:sz w:val="21"/>
          <w:szCs w:val="21"/>
          <w:highlight w:val="none"/>
        </w:rPr>
        <w:t>6</w:t>
      </w:r>
      <w:r>
        <w:rPr>
          <w:rFonts w:hint="eastAsia" w:ascii="宋体" w:hAnsi="宋体"/>
          <w:sz w:val="21"/>
          <w:szCs w:val="21"/>
          <w:highlight w:val="none"/>
        </w:rPr>
        <w:t>月8日成立起息，起息日当天产品净值为</w:t>
      </w:r>
      <w:r>
        <w:rPr>
          <w:rFonts w:ascii="宋体" w:hAnsi="宋体"/>
          <w:sz w:val="21"/>
          <w:szCs w:val="21"/>
          <w:highlight w:val="none"/>
        </w:rPr>
        <w:t>1</w:t>
      </w:r>
      <w:r>
        <w:rPr>
          <w:rFonts w:hint="eastAsia" w:ascii="宋体" w:hAnsi="宋体"/>
          <w:sz w:val="21"/>
          <w:szCs w:val="21"/>
          <w:highlight w:val="none"/>
        </w:rPr>
        <w:t>。若投资者于</w:t>
      </w:r>
      <w:r>
        <w:rPr>
          <w:rFonts w:ascii="宋体" w:hAnsi="宋体"/>
          <w:sz w:val="21"/>
          <w:szCs w:val="21"/>
          <w:highlight w:val="none"/>
        </w:rPr>
        <w:t>6</w:t>
      </w:r>
      <w:r>
        <w:rPr>
          <w:rFonts w:hint="eastAsia" w:ascii="宋体" w:hAnsi="宋体"/>
          <w:sz w:val="21"/>
          <w:szCs w:val="21"/>
          <w:highlight w:val="none"/>
        </w:rPr>
        <w:t>月9日提出全部赎回申请，则产品本金及收益于6月10日进行兑付。假设持有2天中，产品的每万份收益分别为</w:t>
      </w:r>
      <w:r>
        <w:rPr>
          <w:rFonts w:ascii="宋体" w:hAnsi="宋体"/>
          <w:sz w:val="21"/>
          <w:szCs w:val="21"/>
          <w:highlight w:val="none"/>
        </w:rPr>
        <w:t>0.9635</w:t>
      </w:r>
      <w:r>
        <w:rPr>
          <w:rFonts w:hint="eastAsia" w:ascii="宋体" w:hAnsi="宋体"/>
          <w:sz w:val="21"/>
          <w:szCs w:val="21"/>
          <w:highlight w:val="none"/>
        </w:rPr>
        <w:t>、</w:t>
      </w:r>
      <w:r>
        <w:rPr>
          <w:rFonts w:ascii="宋体" w:hAnsi="宋体"/>
          <w:sz w:val="21"/>
          <w:szCs w:val="21"/>
          <w:highlight w:val="none"/>
        </w:rPr>
        <w:t>0.9645</w:t>
      </w:r>
      <w:r>
        <w:rPr>
          <w:rFonts w:hint="eastAsia" w:ascii="宋体" w:hAnsi="宋体"/>
          <w:sz w:val="21"/>
          <w:szCs w:val="21"/>
          <w:highlight w:val="none"/>
        </w:rPr>
        <w:t>，则投资者最后获得的收益总额为：</w:t>
      </w:r>
    </w:p>
    <w:p>
      <w:pPr>
        <w:pStyle w:val="2"/>
        <w:snapToGrid w:val="0"/>
        <w:spacing w:line="380" w:lineRule="exact"/>
        <w:ind w:firstLine="420" w:firstLineChars="200"/>
        <w:rPr>
          <w:rFonts w:ascii="宋体" w:hAnsi="宋体"/>
          <w:sz w:val="21"/>
          <w:szCs w:val="21"/>
          <w:highlight w:val="none"/>
        </w:rPr>
      </w:pPr>
      <w:r>
        <w:rPr>
          <w:rFonts w:ascii="宋体" w:hAnsi="宋体"/>
          <w:sz w:val="21"/>
          <w:szCs w:val="21"/>
          <w:highlight w:val="none"/>
        </w:rPr>
        <w:t>50000/10000*0.9635</w:t>
      </w:r>
      <w:r>
        <w:rPr>
          <w:rFonts w:hint="eastAsia" w:ascii="宋体" w:hAnsi="宋体"/>
          <w:sz w:val="21"/>
          <w:szCs w:val="21"/>
          <w:highlight w:val="none"/>
        </w:rPr>
        <w:t>+（50000+</w:t>
      </w:r>
      <w:r>
        <w:rPr>
          <w:rFonts w:ascii="宋体" w:hAnsi="宋体"/>
          <w:sz w:val="21"/>
          <w:szCs w:val="21"/>
          <w:highlight w:val="none"/>
        </w:rPr>
        <w:t>50000/10000*0.9635</w:t>
      </w:r>
      <w:r>
        <w:rPr>
          <w:rFonts w:hint="eastAsia" w:ascii="宋体" w:hAnsi="宋体"/>
          <w:sz w:val="21"/>
          <w:szCs w:val="21"/>
          <w:highlight w:val="none"/>
        </w:rPr>
        <w:t>）/10000*0.9645=9.64元。</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w:t>
      </w:r>
      <w:r>
        <w:rPr>
          <w:rFonts w:ascii="宋体" w:hAnsi="宋体"/>
          <w:sz w:val="21"/>
          <w:szCs w:val="21"/>
          <w:highlight w:val="none"/>
        </w:rPr>
        <w:t>2</w:t>
      </w:r>
      <w:r>
        <w:rPr>
          <w:rFonts w:hint="eastAsia" w:ascii="宋体" w:hAnsi="宋体"/>
          <w:sz w:val="21"/>
          <w:szCs w:val="21"/>
          <w:highlight w:val="none"/>
        </w:rPr>
        <w:t>）情景</w:t>
      </w:r>
      <w:r>
        <w:rPr>
          <w:rFonts w:ascii="宋体" w:hAnsi="宋体"/>
          <w:sz w:val="21"/>
          <w:szCs w:val="21"/>
          <w:highlight w:val="none"/>
        </w:rPr>
        <w:t>2</w:t>
      </w:r>
      <w:r>
        <w:rPr>
          <w:rFonts w:hint="eastAsia" w:ascii="宋体" w:hAnsi="宋体"/>
          <w:sz w:val="21"/>
          <w:szCs w:val="21"/>
          <w:highlight w:val="none"/>
        </w:rPr>
        <w:t>：</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投资者于</w:t>
      </w:r>
      <w:r>
        <w:rPr>
          <w:rFonts w:ascii="宋体" w:hAnsi="宋体"/>
          <w:sz w:val="21"/>
          <w:szCs w:val="21"/>
          <w:highlight w:val="none"/>
        </w:rPr>
        <w:t>2020</w:t>
      </w:r>
      <w:r>
        <w:rPr>
          <w:rFonts w:hint="eastAsia" w:ascii="宋体" w:hAnsi="宋体"/>
          <w:sz w:val="21"/>
          <w:szCs w:val="21"/>
          <w:highlight w:val="none"/>
        </w:rPr>
        <w:t>年</w:t>
      </w:r>
      <w:r>
        <w:rPr>
          <w:rFonts w:ascii="宋体" w:hAnsi="宋体"/>
          <w:sz w:val="21"/>
          <w:szCs w:val="21"/>
          <w:highlight w:val="none"/>
        </w:rPr>
        <w:t>7</w:t>
      </w:r>
      <w:r>
        <w:rPr>
          <w:rFonts w:hint="eastAsia" w:ascii="宋体" w:hAnsi="宋体"/>
          <w:sz w:val="21"/>
          <w:szCs w:val="21"/>
          <w:highlight w:val="none"/>
        </w:rPr>
        <w:t>月</w:t>
      </w:r>
      <w:r>
        <w:rPr>
          <w:rFonts w:ascii="宋体" w:hAnsi="宋体"/>
          <w:sz w:val="21"/>
          <w:szCs w:val="21"/>
          <w:highlight w:val="none"/>
        </w:rPr>
        <w:t>3</w:t>
      </w:r>
      <w:r>
        <w:rPr>
          <w:rFonts w:hint="eastAsia" w:ascii="宋体" w:hAnsi="宋体"/>
          <w:sz w:val="21"/>
          <w:szCs w:val="21"/>
          <w:highlight w:val="none"/>
        </w:rPr>
        <w:t>日交易时段申购理财产品</w:t>
      </w:r>
      <w:r>
        <w:rPr>
          <w:rFonts w:ascii="宋体" w:hAnsi="宋体"/>
          <w:sz w:val="21"/>
          <w:szCs w:val="21"/>
          <w:highlight w:val="none"/>
        </w:rPr>
        <w:t>5</w:t>
      </w:r>
      <w:r>
        <w:rPr>
          <w:rFonts w:hint="eastAsia" w:ascii="宋体" w:hAnsi="宋体"/>
          <w:sz w:val="21"/>
          <w:szCs w:val="21"/>
          <w:highlight w:val="none"/>
        </w:rPr>
        <w:t>万元，申购份额将于</w:t>
      </w:r>
      <w:r>
        <w:rPr>
          <w:rFonts w:ascii="宋体" w:hAnsi="宋体"/>
          <w:sz w:val="21"/>
          <w:szCs w:val="21"/>
          <w:highlight w:val="none"/>
        </w:rPr>
        <w:t>7</w:t>
      </w:r>
      <w:r>
        <w:rPr>
          <w:rFonts w:hint="eastAsia" w:ascii="宋体" w:hAnsi="宋体"/>
          <w:sz w:val="21"/>
          <w:szCs w:val="21"/>
          <w:highlight w:val="none"/>
        </w:rPr>
        <w:t>月4日确认并起息，起息日当天产品净值为</w:t>
      </w:r>
      <w:r>
        <w:rPr>
          <w:rFonts w:ascii="宋体" w:hAnsi="宋体"/>
          <w:sz w:val="21"/>
          <w:szCs w:val="21"/>
          <w:highlight w:val="none"/>
        </w:rPr>
        <w:t>1</w:t>
      </w:r>
      <w:r>
        <w:rPr>
          <w:rFonts w:hint="eastAsia" w:ascii="宋体" w:hAnsi="宋体"/>
          <w:sz w:val="21"/>
          <w:szCs w:val="21"/>
          <w:highlight w:val="none"/>
        </w:rPr>
        <w:t>。若投资者持有</w:t>
      </w:r>
      <w:r>
        <w:rPr>
          <w:rFonts w:ascii="宋体" w:hAnsi="宋体"/>
          <w:sz w:val="21"/>
          <w:szCs w:val="21"/>
          <w:highlight w:val="none"/>
        </w:rPr>
        <w:t>3</w:t>
      </w:r>
      <w:r>
        <w:rPr>
          <w:rFonts w:hint="eastAsia" w:ascii="宋体" w:hAnsi="宋体"/>
          <w:sz w:val="21"/>
          <w:szCs w:val="21"/>
          <w:highlight w:val="none"/>
        </w:rPr>
        <w:t>天后于</w:t>
      </w:r>
      <w:r>
        <w:rPr>
          <w:rFonts w:ascii="宋体" w:hAnsi="宋体"/>
          <w:sz w:val="21"/>
          <w:szCs w:val="21"/>
          <w:highlight w:val="none"/>
        </w:rPr>
        <w:t>7</w:t>
      </w:r>
      <w:r>
        <w:rPr>
          <w:rFonts w:hint="eastAsia" w:ascii="宋体" w:hAnsi="宋体"/>
          <w:sz w:val="21"/>
          <w:szCs w:val="21"/>
          <w:highlight w:val="none"/>
        </w:rPr>
        <w:t>月</w:t>
      </w:r>
      <w:r>
        <w:rPr>
          <w:rFonts w:ascii="宋体" w:hAnsi="宋体"/>
          <w:sz w:val="21"/>
          <w:szCs w:val="21"/>
          <w:highlight w:val="none"/>
        </w:rPr>
        <w:t>6</w:t>
      </w:r>
      <w:r>
        <w:rPr>
          <w:rFonts w:hint="eastAsia" w:ascii="宋体" w:hAnsi="宋体"/>
          <w:sz w:val="21"/>
          <w:szCs w:val="21"/>
          <w:highlight w:val="none"/>
        </w:rPr>
        <w:t>日交易时段提出全部赎回申请，则产品本金及收益下一个工作日7月7日进行兑付。假设持有</w:t>
      </w:r>
      <w:r>
        <w:rPr>
          <w:rFonts w:ascii="宋体" w:hAnsi="宋体"/>
          <w:sz w:val="21"/>
          <w:szCs w:val="21"/>
          <w:highlight w:val="none"/>
        </w:rPr>
        <w:t>3</w:t>
      </w:r>
      <w:r>
        <w:rPr>
          <w:rFonts w:hint="eastAsia" w:ascii="宋体" w:hAnsi="宋体"/>
          <w:sz w:val="21"/>
          <w:szCs w:val="21"/>
          <w:highlight w:val="none"/>
        </w:rPr>
        <w:t>天中，产品的每万份收益均为</w:t>
      </w:r>
      <w:r>
        <w:rPr>
          <w:rFonts w:ascii="宋体" w:hAnsi="宋体"/>
          <w:sz w:val="21"/>
          <w:szCs w:val="21"/>
          <w:highlight w:val="none"/>
        </w:rPr>
        <w:t>1.0103</w:t>
      </w:r>
      <w:r>
        <w:rPr>
          <w:rFonts w:hint="eastAsia" w:ascii="宋体" w:hAnsi="宋体"/>
          <w:sz w:val="21"/>
          <w:szCs w:val="21"/>
          <w:highlight w:val="none"/>
        </w:rPr>
        <w:t>、</w:t>
      </w:r>
      <w:r>
        <w:rPr>
          <w:rFonts w:ascii="宋体" w:hAnsi="宋体"/>
          <w:sz w:val="21"/>
          <w:szCs w:val="21"/>
          <w:highlight w:val="none"/>
        </w:rPr>
        <w:t>1.0104</w:t>
      </w:r>
      <w:r>
        <w:rPr>
          <w:rFonts w:hint="eastAsia" w:ascii="宋体" w:hAnsi="宋体"/>
          <w:sz w:val="21"/>
          <w:szCs w:val="21"/>
          <w:highlight w:val="none"/>
        </w:rPr>
        <w:t>、</w:t>
      </w:r>
      <w:r>
        <w:rPr>
          <w:rFonts w:ascii="宋体" w:hAnsi="宋体"/>
          <w:sz w:val="21"/>
          <w:szCs w:val="21"/>
          <w:highlight w:val="none"/>
        </w:rPr>
        <w:t>1.0105</w:t>
      </w:r>
      <w:r>
        <w:rPr>
          <w:rFonts w:hint="eastAsia" w:ascii="宋体" w:hAnsi="宋体"/>
          <w:sz w:val="21"/>
          <w:szCs w:val="21"/>
          <w:highlight w:val="none"/>
        </w:rPr>
        <w:t>，则投资者最后获得的收益总额为：</w:t>
      </w:r>
    </w:p>
    <w:p>
      <w:pPr>
        <w:pStyle w:val="2"/>
        <w:snapToGrid w:val="0"/>
        <w:spacing w:line="380" w:lineRule="exact"/>
        <w:ind w:firstLine="420" w:firstLineChars="200"/>
        <w:jc w:val="left"/>
        <w:rPr>
          <w:rFonts w:ascii="宋体" w:hAnsi="宋体"/>
          <w:sz w:val="21"/>
          <w:szCs w:val="21"/>
          <w:highlight w:val="none"/>
        </w:rPr>
      </w:pPr>
      <w:r>
        <w:rPr>
          <w:rFonts w:ascii="宋体" w:hAnsi="宋体"/>
          <w:sz w:val="21"/>
          <w:szCs w:val="21"/>
          <w:highlight w:val="none"/>
        </w:rPr>
        <w:t>50000/10000*</w:t>
      </w:r>
      <w:r>
        <w:rPr>
          <w:rFonts w:hint="eastAsia" w:ascii="宋体" w:hAnsi="宋体"/>
          <w:sz w:val="21"/>
          <w:szCs w:val="21"/>
          <w:highlight w:val="none"/>
        </w:rPr>
        <w:t>1.0103+（50000+</w:t>
      </w:r>
      <w:r>
        <w:rPr>
          <w:rFonts w:ascii="宋体" w:hAnsi="宋体"/>
          <w:sz w:val="21"/>
          <w:szCs w:val="21"/>
          <w:highlight w:val="none"/>
        </w:rPr>
        <w:t>50000/10000*</w:t>
      </w:r>
      <w:r>
        <w:rPr>
          <w:rFonts w:hint="eastAsia" w:ascii="宋体" w:hAnsi="宋体"/>
          <w:sz w:val="21"/>
          <w:szCs w:val="21"/>
          <w:highlight w:val="none"/>
        </w:rPr>
        <w:t>1.0103）/10000*1.0104+[50000+</w:t>
      </w:r>
      <w:r>
        <w:rPr>
          <w:rFonts w:ascii="宋体" w:hAnsi="宋体"/>
          <w:sz w:val="21"/>
          <w:szCs w:val="21"/>
          <w:highlight w:val="none"/>
        </w:rPr>
        <w:t>50000/10000*</w:t>
      </w:r>
      <w:r>
        <w:rPr>
          <w:rFonts w:hint="eastAsia" w:ascii="宋体" w:hAnsi="宋体"/>
          <w:sz w:val="21"/>
          <w:szCs w:val="21"/>
          <w:highlight w:val="none"/>
        </w:rPr>
        <w:t>1.0103+（50000+</w:t>
      </w:r>
      <w:r>
        <w:rPr>
          <w:rFonts w:ascii="宋体" w:hAnsi="宋体"/>
          <w:sz w:val="21"/>
          <w:szCs w:val="21"/>
          <w:highlight w:val="none"/>
        </w:rPr>
        <w:t>50000/10000*</w:t>
      </w:r>
      <w:r>
        <w:rPr>
          <w:rFonts w:hint="eastAsia" w:ascii="宋体" w:hAnsi="宋体"/>
          <w:sz w:val="21"/>
          <w:szCs w:val="21"/>
          <w:highlight w:val="none"/>
        </w:rPr>
        <w:t>1.0103）/10000*1.0104]/10000*1.0105</w:t>
      </w:r>
      <w:r>
        <w:rPr>
          <w:rFonts w:ascii="宋体" w:hAnsi="宋体"/>
          <w:sz w:val="21"/>
          <w:szCs w:val="21"/>
          <w:highlight w:val="none"/>
        </w:rPr>
        <w:t>=15.16</w:t>
      </w:r>
      <w:r>
        <w:rPr>
          <w:rFonts w:hint="eastAsia" w:ascii="宋体" w:hAnsi="宋体"/>
          <w:sz w:val="21"/>
          <w:szCs w:val="21"/>
          <w:highlight w:val="none"/>
        </w:rPr>
        <w:t>元。</w:t>
      </w:r>
    </w:p>
    <w:p>
      <w:pPr>
        <w:pStyle w:val="2"/>
        <w:snapToGrid w:val="0"/>
        <w:spacing w:line="380" w:lineRule="exact"/>
        <w:ind w:firstLine="420" w:firstLineChars="200"/>
        <w:rPr>
          <w:rFonts w:ascii="宋体" w:hAnsi="宋体"/>
          <w:b/>
          <w:bCs/>
          <w:sz w:val="21"/>
          <w:szCs w:val="21"/>
          <w:highlight w:val="none"/>
        </w:rPr>
      </w:pPr>
      <w:r>
        <w:rPr>
          <w:rFonts w:hint="eastAsia" w:ascii="宋体" w:hAnsi="宋体"/>
          <w:sz w:val="21"/>
          <w:szCs w:val="21"/>
          <w:highlight w:val="none"/>
        </w:rPr>
        <w:t>（</w:t>
      </w:r>
      <w:r>
        <w:rPr>
          <w:rFonts w:hint="eastAsia" w:ascii="宋体" w:hAnsi="宋体"/>
          <w:sz w:val="21"/>
          <w:szCs w:val="21"/>
          <w:highlight w:val="none"/>
          <w:lang w:val="en-US" w:eastAsia="zh-CN"/>
        </w:rPr>
        <w:t>3</w:t>
      </w:r>
      <w:r>
        <w:rPr>
          <w:rFonts w:hint="eastAsia" w:ascii="宋体" w:hAnsi="宋体"/>
          <w:sz w:val="21"/>
          <w:szCs w:val="21"/>
          <w:highlight w:val="none"/>
        </w:rPr>
        <w:t>）</w:t>
      </w:r>
      <w:r>
        <w:rPr>
          <w:rFonts w:hint="eastAsia" w:ascii="宋体" w:hAnsi="宋体"/>
          <w:b/>
          <w:bCs/>
          <w:sz w:val="21"/>
          <w:szCs w:val="21"/>
          <w:highlight w:val="none"/>
        </w:rPr>
        <w:t>市场波动导致投资组合内债券价格下跌、或由于企业信用恶化导致债券违约，有可能导致本理财产品收益率为零甚至为负，投资者在赎回或者到期时有可能损失理财本金和收益，在最不利的情况下，本理财产品有可能损失全部本金，则由此产生的本金和理财收益不确定的风险由投资者自行承担。</w:t>
      </w:r>
    </w:p>
    <w:p>
      <w:pPr>
        <w:pStyle w:val="2"/>
        <w:snapToGrid w:val="0"/>
        <w:spacing w:line="380" w:lineRule="exact"/>
        <w:ind w:firstLine="422" w:firstLineChars="200"/>
        <w:rPr>
          <w:rFonts w:ascii="宋体" w:hAnsi="宋体"/>
          <w:b/>
          <w:sz w:val="21"/>
          <w:szCs w:val="21"/>
          <w:highlight w:val="none"/>
        </w:rPr>
      </w:pPr>
      <w:r>
        <w:rPr>
          <w:rFonts w:hint="eastAsia" w:ascii="宋体" w:hAnsi="宋体"/>
          <w:b/>
          <w:sz w:val="21"/>
          <w:szCs w:val="21"/>
          <w:highlight w:val="none"/>
        </w:rPr>
        <w:t>（以上示例采用假设数据计算，并不代表投资者实际可获得的理财收益；测算收益不等于实际收益，投资须谨慎）</w:t>
      </w:r>
    </w:p>
    <w:p>
      <w:pPr>
        <w:adjustRightInd w:val="0"/>
        <w:snapToGrid w:val="0"/>
        <w:spacing w:line="520" w:lineRule="exact"/>
        <w:ind w:firstLine="422" w:firstLineChars="200"/>
        <w:rPr>
          <w:rFonts w:ascii="宋体" w:hAnsi="宋体"/>
          <w:b/>
          <w:szCs w:val="21"/>
          <w:highlight w:val="none"/>
        </w:rPr>
      </w:pPr>
      <w:r>
        <w:rPr>
          <w:rFonts w:hint="eastAsia" w:ascii="宋体" w:hAnsi="宋体"/>
          <w:b/>
          <w:szCs w:val="21"/>
          <w:highlight w:val="none"/>
        </w:rPr>
        <w:t>（二）本金及理财收益支付</w:t>
      </w:r>
    </w:p>
    <w:p>
      <w:pPr>
        <w:pStyle w:val="2"/>
        <w:snapToGrid w:val="0"/>
        <w:spacing w:line="380" w:lineRule="exact"/>
        <w:ind w:firstLine="420" w:firstLineChars="200"/>
        <w:rPr>
          <w:rFonts w:ascii="宋体" w:hAnsi="宋体"/>
          <w:bCs/>
          <w:sz w:val="21"/>
          <w:szCs w:val="21"/>
          <w:highlight w:val="none"/>
        </w:rPr>
      </w:pPr>
      <w:r>
        <w:rPr>
          <w:rFonts w:hint="eastAsia" w:ascii="宋体" w:hAnsi="宋体"/>
          <w:bCs/>
          <w:sz w:val="21"/>
          <w:szCs w:val="21"/>
          <w:highlight w:val="none"/>
        </w:rPr>
        <w:t>本理财产品根据每日理财产品收益情况，以理财产品每万份收益为基准，为投资者每日计算当日收益，并将该收益结转为产品份额。投资者自认购/申购确认日当日开始享有收益分配权益；自赎回确认日当日起不再享有收益分配权益，快速赎回另行约定。理财产品份额保留到小数点后2位，小数点后2位以后的部分四舍五入。</w:t>
      </w:r>
    </w:p>
    <w:p>
      <w:pPr>
        <w:pStyle w:val="2"/>
        <w:snapToGrid w:val="0"/>
        <w:spacing w:line="380" w:lineRule="exact"/>
        <w:ind w:firstLine="422" w:firstLineChars="200"/>
        <w:rPr>
          <w:rFonts w:ascii="宋体" w:hAnsi="宋体"/>
          <w:b/>
          <w:bCs/>
          <w:sz w:val="21"/>
          <w:szCs w:val="21"/>
          <w:highlight w:val="none"/>
        </w:rPr>
      </w:pPr>
      <w:r>
        <w:rPr>
          <w:rFonts w:hint="eastAsia" w:ascii="宋体" w:hAnsi="宋体"/>
          <w:b/>
          <w:bCs/>
          <w:sz w:val="21"/>
          <w:szCs w:val="21"/>
          <w:highlight w:val="none"/>
        </w:rPr>
        <w:t>理财产品每万份收益和七日年化收益率仅供投资者购买时决策参考或作为测算收益参考，并不代表该理财产品实际收益或未来的表现，也不构成产品管理人对本理财产品收益的任何承诺或保证，理财收益以产品管理人实际支付为准。</w:t>
      </w:r>
    </w:p>
    <w:p>
      <w:pPr>
        <w:spacing w:line="360" w:lineRule="auto"/>
        <w:ind w:firstLine="422" w:firstLineChars="200"/>
        <w:outlineLvl w:val="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十六、提前终止或产品延期</w:t>
      </w:r>
    </w:p>
    <w:p>
      <w:pPr>
        <w:widowControl/>
        <w:spacing w:line="380" w:lineRule="atLeast"/>
        <w:ind w:firstLine="420" w:firstLineChars="200"/>
        <w:rPr>
          <w:rFonts w:ascii="宋体" w:hAnsi="宋体" w:cs="宋体"/>
          <w:b/>
          <w:color w:val="000000"/>
          <w:szCs w:val="21"/>
          <w:highlight w:val="none"/>
          <w:lang w:bidi="ar"/>
        </w:rPr>
      </w:pPr>
      <w:r>
        <w:rPr>
          <w:rFonts w:hint="eastAsia" w:ascii="宋体" w:hAnsi="宋体" w:cs="宋体"/>
          <w:bCs/>
          <w:color w:val="000000"/>
          <w:szCs w:val="21"/>
          <w:highlight w:val="none"/>
          <w:lang w:bidi="ar"/>
        </w:rPr>
        <w:t>（一）本产品到期日之前，除以下所列理财产品终止事件而终止外，</w:t>
      </w:r>
      <w:r>
        <w:rPr>
          <w:rFonts w:hint="eastAsia" w:ascii="宋体" w:hAnsi="宋体" w:cs="宋体"/>
          <w:b/>
          <w:color w:val="000000"/>
          <w:szCs w:val="21"/>
          <w:highlight w:val="none"/>
          <w:lang w:bidi="ar"/>
        </w:rPr>
        <w:t>投资者无权要求提前终止理财产品。</w:t>
      </w:r>
    </w:p>
    <w:p>
      <w:pPr>
        <w:widowControl/>
        <w:spacing w:line="380" w:lineRule="atLeast"/>
        <w:ind w:firstLine="422" w:firstLineChars="200"/>
        <w:rPr>
          <w:rFonts w:ascii="宋体" w:hAnsi="宋体" w:cs="宋体"/>
          <w:b/>
          <w:color w:val="000000"/>
          <w:szCs w:val="21"/>
          <w:highlight w:val="none"/>
          <w:lang w:bidi="ar"/>
        </w:rPr>
      </w:pPr>
      <w:r>
        <w:rPr>
          <w:rFonts w:hint="eastAsia" w:ascii="宋体" w:hAnsi="宋体" w:cs="宋体"/>
          <w:b/>
          <w:color w:val="000000"/>
          <w:szCs w:val="21"/>
          <w:highlight w:val="none"/>
          <w:lang w:bidi="ar"/>
        </w:rPr>
        <w:t>（二）理财产品必须终止的事件：</w:t>
      </w:r>
    </w:p>
    <w:p>
      <w:pPr>
        <w:widowControl/>
        <w:spacing w:line="380" w:lineRule="atLeast"/>
        <w:ind w:firstLine="420" w:firstLineChars="200"/>
        <w:rPr>
          <w:rFonts w:ascii="宋体" w:hAnsi="宋体" w:cs="宋体"/>
          <w:bCs/>
          <w:color w:val="000000"/>
          <w:szCs w:val="21"/>
          <w:highlight w:val="none"/>
          <w:lang w:bidi="ar"/>
        </w:rPr>
      </w:pPr>
      <w:r>
        <w:rPr>
          <w:rFonts w:ascii="宋体" w:hAnsi="宋体" w:cs="宋体"/>
          <w:bCs/>
          <w:color w:val="000000"/>
          <w:szCs w:val="21"/>
          <w:highlight w:val="none"/>
          <w:lang w:bidi="ar"/>
        </w:rPr>
        <w:t>1.</w:t>
      </w:r>
      <w:r>
        <w:rPr>
          <w:rFonts w:hint="eastAsia" w:ascii="宋体" w:hAnsi="宋体" w:cs="宋体"/>
          <w:bCs/>
          <w:color w:val="000000"/>
          <w:szCs w:val="21"/>
          <w:highlight w:val="none"/>
          <w:lang w:bidi="ar"/>
        </w:rPr>
        <w:t>发生不可抗力事件导致理财产品不能存续；</w:t>
      </w:r>
    </w:p>
    <w:p>
      <w:pPr>
        <w:widowControl/>
        <w:spacing w:line="380" w:lineRule="atLeast"/>
        <w:ind w:firstLine="420" w:firstLineChars="200"/>
        <w:rPr>
          <w:rFonts w:ascii="宋体" w:hAnsi="宋体" w:cs="宋体"/>
          <w:bCs/>
          <w:color w:val="000000"/>
          <w:szCs w:val="21"/>
          <w:highlight w:val="none"/>
          <w:lang w:bidi="ar"/>
        </w:rPr>
      </w:pPr>
      <w:r>
        <w:rPr>
          <w:rFonts w:ascii="宋体" w:hAnsi="宋体" w:cs="宋体"/>
          <w:bCs/>
          <w:color w:val="000000"/>
          <w:szCs w:val="21"/>
          <w:highlight w:val="none"/>
          <w:lang w:bidi="ar"/>
        </w:rPr>
        <w:t>2.</w:t>
      </w:r>
      <w:r>
        <w:rPr>
          <w:rFonts w:hint="eastAsia" w:ascii="宋体" w:hAnsi="宋体" w:cs="宋体"/>
          <w:bCs/>
          <w:color w:val="000000"/>
          <w:szCs w:val="21"/>
          <w:highlight w:val="none"/>
          <w:lang w:bidi="ar"/>
        </w:rPr>
        <w:t>理财产品被法院或仲裁机构依法撤销、被认定为无效或被判决、裁定终止或被监管机构要求终止的；</w:t>
      </w:r>
    </w:p>
    <w:p>
      <w:pPr>
        <w:widowControl/>
        <w:spacing w:line="380" w:lineRule="atLeast"/>
        <w:ind w:firstLine="420" w:firstLineChars="200"/>
        <w:rPr>
          <w:rFonts w:ascii="宋体" w:hAnsi="宋体" w:cs="宋体"/>
          <w:bCs/>
          <w:color w:val="000000"/>
          <w:szCs w:val="21"/>
          <w:highlight w:val="none"/>
          <w:lang w:bidi="ar"/>
        </w:rPr>
      </w:pPr>
      <w:r>
        <w:rPr>
          <w:rFonts w:ascii="宋体" w:hAnsi="宋体" w:cs="宋体"/>
          <w:bCs/>
          <w:color w:val="000000"/>
          <w:szCs w:val="21"/>
          <w:highlight w:val="none"/>
          <w:lang w:bidi="ar"/>
        </w:rPr>
        <w:t>3.</w:t>
      </w:r>
      <w:r>
        <w:rPr>
          <w:rFonts w:hint="eastAsia" w:ascii="宋体" w:hAnsi="宋体" w:cs="宋体"/>
          <w:bCs/>
          <w:color w:val="000000"/>
          <w:szCs w:val="21"/>
          <w:highlight w:val="none"/>
          <w:lang w:bidi="ar"/>
        </w:rPr>
        <w:t>理财产品预计到期日届至且未延期的；</w:t>
      </w:r>
    </w:p>
    <w:p>
      <w:pPr>
        <w:widowControl/>
        <w:spacing w:line="380" w:lineRule="atLeast"/>
        <w:ind w:firstLine="420" w:firstLineChars="200"/>
        <w:rPr>
          <w:rFonts w:ascii="宋体" w:hAnsi="宋体" w:cs="宋体"/>
          <w:bCs/>
          <w:color w:val="000000"/>
          <w:szCs w:val="21"/>
          <w:highlight w:val="none"/>
          <w:lang w:bidi="ar"/>
        </w:rPr>
      </w:pPr>
      <w:r>
        <w:rPr>
          <w:rFonts w:ascii="宋体" w:hAnsi="宋体" w:cs="宋体"/>
          <w:bCs/>
          <w:color w:val="000000"/>
          <w:szCs w:val="21"/>
          <w:highlight w:val="none"/>
          <w:lang w:bidi="ar"/>
        </w:rPr>
        <w:t>4.</w:t>
      </w:r>
      <w:r>
        <w:rPr>
          <w:rFonts w:hint="eastAsia" w:ascii="宋体" w:hAnsi="宋体" w:cs="宋体"/>
          <w:bCs/>
          <w:color w:val="000000"/>
          <w:szCs w:val="21"/>
          <w:highlight w:val="none"/>
          <w:lang w:bidi="ar"/>
        </w:rPr>
        <w:t>理财产品延期期限届至且未再次延期；</w:t>
      </w:r>
    </w:p>
    <w:p>
      <w:pPr>
        <w:widowControl/>
        <w:spacing w:line="380" w:lineRule="atLeast"/>
        <w:ind w:firstLine="420" w:firstLineChars="200"/>
        <w:rPr>
          <w:rFonts w:ascii="宋体" w:hAnsi="宋体" w:cs="宋体"/>
          <w:bCs/>
          <w:color w:val="000000"/>
          <w:szCs w:val="21"/>
          <w:highlight w:val="none"/>
          <w:lang w:bidi="ar"/>
        </w:rPr>
      </w:pPr>
      <w:r>
        <w:rPr>
          <w:rFonts w:ascii="宋体" w:hAnsi="宋体" w:cs="宋体"/>
          <w:bCs/>
          <w:color w:val="000000"/>
          <w:szCs w:val="21"/>
          <w:highlight w:val="none"/>
          <w:lang w:bidi="ar"/>
        </w:rPr>
        <w:t>5.</w:t>
      </w:r>
      <w:r>
        <w:rPr>
          <w:rFonts w:hint="eastAsia" w:ascii="宋体" w:hAnsi="宋体" w:cs="宋体"/>
          <w:bCs/>
          <w:color w:val="000000"/>
          <w:szCs w:val="21"/>
          <w:highlight w:val="none"/>
          <w:lang w:bidi="ar"/>
        </w:rPr>
        <w:t>出现适用法律规定应当终止理财产品的情形。</w:t>
      </w:r>
    </w:p>
    <w:p>
      <w:pPr>
        <w:widowControl/>
        <w:spacing w:line="380" w:lineRule="atLeast"/>
        <w:ind w:firstLine="422" w:firstLineChars="200"/>
        <w:rPr>
          <w:rFonts w:ascii="宋体" w:hAnsi="宋体" w:cs="宋体"/>
          <w:b/>
          <w:color w:val="000000"/>
          <w:szCs w:val="21"/>
          <w:highlight w:val="none"/>
          <w:lang w:bidi="ar"/>
        </w:rPr>
      </w:pPr>
      <w:r>
        <w:rPr>
          <w:rFonts w:hint="eastAsia" w:ascii="宋体" w:hAnsi="宋体" w:cs="宋体"/>
          <w:b/>
          <w:color w:val="000000"/>
          <w:szCs w:val="21"/>
          <w:highlight w:val="none"/>
          <w:lang w:bidi="ar"/>
        </w:rPr>
        <w:t>（三）产品管理人有权单方决定是否终止的事件：</w:t>
      </w:r>
    </w:p>
    <w:p>
      <w:pPr>
        <w:widowControl/>
        <w:spacing w:line="380" w:lineRule="atLeast"/>
        <w:ind w:firstLine="420" w:firstLineChars="200"/>
        <w:rPr>
          <w:rFonts w:ascii="宋体" w:hAnsi="宋体" w:cs="宋体"/>
          <w:bCs/>
          <w:color w:val="000000"/>
          <w:szCs w:val="21"/>
          <w:highlight w:val="none"/>
          <w:lang w:bidi="ar"/>
        </w:rPr>
      </w:pPr>
      <w:r>
        <w:rPr>
          <w:rFonts w:hint="eastAsia" w:ascii="宋体" w:hAnsi="宋体" w:cs="宋体"/>
          <w:bCs/>
          <w:color w:val="000000"/>
          <w:szCs w:val="21"/>
          <w:highlight w:val="none"/>
          <w:lang w:bidi="ar"/>
        </w:rPr>
        <w:t>1.理财存续期内，理财产品连续30个交易日总份额低于【</w:t>
      </w:r>
      <w:r>
        <w:rPr>
          <w:rFonts w:hint="eastAsia" w:ascii="宋体" w:hAnsi="宋体" w:cs="宋体"/>
          <w:bCs/>
          <w:color w:val="000000"/>
          <w:szCs w:val="21"/>
          <w:highlight w:val="none"/>
          <w:lang w:val="en-US" w:eastAsia="zh-CN" w:bidi="ar"/>
        </w:rPr>
        <w:t>1</w:t>
      </w:r>
      <w:r>
        <w:rPr>
          <w:rFonts w:hint="eastAsia" w:ascii="宋体" w:hAnsi="宋体" w:cs="宋体"/>
          <w:bCs/>
          <w:color w:val="000000"/>
          <w:szCs w:val="21"/>
          <w:highlight w:val="none"/>
          <w:lang w:bidi="ar"/>
        </w:rPr>
        <w:t>】亿份；</w:t>
      </w:r>
    </w:p>
    <w:p>
      <w:pPr>
        <w:widowControl/>
        <w:spacing w:line="380" w:lineRule="atLeast"/>
        <w:ind w:firstLine="420" w:firstLineChars="200"/>
        <w:rPr>
          <w:rFonts w:ascii="宋体" w:hAnsi="宋体" w:cs="宋体"/>
          <w:bCs/>
          <w:color w:val="000000"/>
          <w:szCs w:val="21"/>
          <w:highlight w:val="none"/>
          <w:lang w:bidi="ar"/>
        </w:rPr>
      </w:pPr>
      <w:r>
        <w:rPr>
          <w:rFonts w:hint="eastAsia" w:ascii="宋体" w:hAnsi="宋体" w:cs="宋体"/>
          <w:bCs/>
          <w:color w:val="000000"/>
          <w:szCs w:val="21"/>
          <w:highlight w:val="none"/>
          <w:lang w:bidi="ar"/>
        </w:rPr>
        <w:t>2.如遇</w:t>
      </w:r>
      <w:bookmarkStart w:id="10" w:name="_Hlk113581939"/>
      <w:r>
        <w:rPr>
          <w:rFonts w:hint="eastAsia" w:ascii="宋体" w:hAnsi="宋体" w:cs="宋体"/>
          <w:bCs/>
          <w:color w:val="000000"/>
          <w:szCs w:val="21"/>
          <w:highlight w:val="none"/>
          <w:lang w:bidi="ar"/>
        </w:rPr>
        <w:t>法律法规、监管规定、国家政策</w:t>
      </w:r>
      <w:bookmarkEnd w:id="10"/>
      <w:r>
        <w:rPr>
          <w:rFonts w:hint="eastAsia" w:ascii="宋体" w:hAnsi="宋体" w:cs="宋体"/>
          <w:bCs/>
          <w:color w:val="000000"/>
          <w:szCs w:val="21"/>
          <w:highlight w:val="none"/>
          <w:lang w:bidi="ar"/>
        </w:rPr>
        <w:t>出现重大调整或宏观经济形势发生重大变化，或恒丰理财合理判断后认为将影响到本理财产品的正常运作；</w:t>
      </w:r>
    </w:p>
    <w:p>
      <w:pPr>
        <w:widowControl/>
        <w:spacing w:line="380" w:lineRule="atLeast"/>
        <w:ind w:firstLine="420" w:firstLineChars="200"/>
        <w:rPr>
          <w:rFonts w:ascii="宋体" w:hAnsi="宋体" w:cs="宋体"/>
          <w:bCs/>
          <w:color w:val="000000"/>
          <w:szCs w:val="21"/>
          <w:highlight w:val="none"/>
          <w:lang w:bidi="ar"/>
        </w:rPr>
      </w:pPr>
      <w:r>
        <w:rPr>
          <w:rFonts w:hint="eastAsia" w:ascii="宋体" w:hAnsi="宋体" w:cs="宋体"/>
          <w:bCs/>
          <w:color w:val="000000"/>
          <w:szCs w:val="21"/>
          <w:highlight w:val="none"/>
          <w:lang w:bidi="ar"/>
        </w:rPr>
        <w:t>3.本理财产品投向的金融资产所涉及的相关主体信用恶化，市场利率大幅下滑；</w:t>
      </w:r>
    </w:p>
    <w:p>
      <w:pPr>
        <w:widowControl/>
        <w:spacing w:line="380" w:lineRule="atLeast"/>
        <w:ind w:firstLine="420" w:firstLineChars="200"/>
        <w:rPr>
          <w:rFonts w:ascii="宋体" w:hAnsi="宋体" w:cs="宋体"/>
          <w:bCs/>
          <w:color w:val="000000"/>
          <w:szCs w:val="21"/>
          <w:highlight w:val="none"/>
          <w:lang w:bidi="ar"/>
        </w:rPr>
      </w:pPr>
      <w:r>
        <w:rPr>
          <w:rFonts w:hint="eastAsia" w:ascii="宋体" w:hAnsi="宋体" w:cs="宋体"/>
          <w:bCs/>
          <w:color w:val="000000"/>
          <w:szCs w:val="21"/>
          <w:highlight w:val="none"/>
          <w:lang w:bidi="ar"/>
        </w:rPr>
        <w:t>4.本理财产品投向的信托计划、资管计划等提前终止；</w:t>
      </w:r>
    </w:p>
    <w:p>
      <w:pPr>
        <w:widowControl/>
        <w:spacing w:line="380" w:lineRule="atLeast"/>
        <w:ind w:firstLine="420" w:firstLineChars="200"/>
        <w:rPr>
          <w:rFonts w:ascii="宋体" w:hAnsi="宋体" w:cs="宋体"/>
          <w:bCs/>
          <w:color w:val="000000"/>
          <w:szCs w:val="21"/>
          <w:highlight w:val="none"/>
          <w:lang w:bidi="ar"/>
        </w:rPr>
      </w:pPr>
      <w:bookmarkStart w:id="11" w:name="_Hlk113581952"/>
      <w:r>
        <w:rPr>
          <w:rFonts w:hint="eastAsia" w:ascii="宋体" w:hAnsi="宋体" w:cs="宋体"/>
          <w:bCs/>
          <w:color w:val="000000"/>
          <w:szCs w:val="21"/>
          <w:highlight w:val="none"/>
          <w:lang w:bidi="ar"/>
        </w:rPr>
        <w:t>5.因投资者理财资金被有权机关扣划等原因导致理财产品剩余资产无法满足相关法律法规规定、所投资市场要求或协议等相关法律文件约定，或者继续存续无法实现投资目标；</w:t>
      </w:r>
    </w:p>
    <w:p>
      <w:pPr>
        <w:widowControl/>
        <w:spacing w:line="380" w:lineRule="atLeast"/>
        <w:ind w:firstLine="420" w:firstLineChars="200"/>
        <w:rPr>
          <w:rFonts w:ascii="宋体" w:hAnsi="宋体" w:cs="宋体"/>
          <w:bCs/>
          <w:color w:val="000000"/>
          <w:szCs w:val="21"/>
          <w:highlight w:val="none"/>
          <w:lang w:bidi="ar"/>
        </w:rPr>
      </w:pPr>
      <w:r>
        <w:rPr>
          <w:rFonts w:hint="eastAsia" w:ascii="宋体" w:hAnsi="宋体" w:cs="宋体"/>
          <w:bCs/>
          <w:color w:val="000000"/>
          <w:szCs w:val="21"/>
          <w:highlight w:val="none"/>
          <w:lang w:bidi="ar"/>
        </w:rPr>
        <w:t>6.因相关投资合作机构解散、破产、撤销、被取消业务资格等原因无法继续履行相应职责导致产品无法继续运作；</w:t>
      </w:r>
    </w:p>
    <w:p>
      <w:pPr>
        <w:widowControl/>
        <w:spacing w:line="380" w:lineRule="atLeast"/>
        <w:ind w:firstLine="420" w:firstLineChars="200"/>
        <w:rPr>
          <w:rFonts w:ascii="宋体" w:hAnsi="宋体" w:cs="宋体"/>
          <w:bCs/>
          <w:color w:val="000000"/>
          <w:szCs w:val="21"/>
          <w:highlight w:val="none"/>
          <w:lang w:bidi="ar"/>
        </w:rPr>
      </w:pPr>
      <w:r>
        <w:rPr>
          <w:rFonts w:hint="eastAsia" w:ascii="宋体" w:hAnsi="宋体" w:cs="宋体"/>
          <w:bCs/>
          <w:color w:val="000000"/>
          <w:szCs w:val="21"/>
          <w:highlight w:val="none"/>
          <w:lang w:bidi="ar"/>
        </w:rPr>
        <w:t>7．相关投资合作机构或运用理财资金的第三方主体实施符合法律法规规定或协议等相关文件约定的行为导致理财产品被动提前终止；</w:t>
      </w:r>
    </w:p>
    <w:p>
      <w:pPr>
        <w:widowControl/>
        <w:spacing w:line="380" w:lineRule="atLeast"/>
        <w:ind w:firstLine="420" w:firstLineChars="200"/>
        <w:rPr>
          <w:rFonts w:ascii="宋体" w:hAnsi="宋体" w:cs="宋体"/>
          <w:bCs/>
          <w:color w:val="000000"/>
          <w:szCs w:val="21"/>
          <w:highlight w:val="none"/>
          <w:lang w:bidi="ar"/>
        </w:rPr>
      </w:pPr>
      <w:r>
        <w:rPr>
          <w:rFonts w:hint="eastAsia" w:ascii="宋体" w:hAnsi="宋体" w:cs="宋体"/>
          <w:bCs/>
          <w:color w:val="000000"/>
          <w:szCs w:val="21"/>
          <w:highlight w:val="none"/>
          <w:lang w:bidi="ar"/>
        </w:rPr>
        <w:t>8.提前终止产品比维持产品运作更有利于保护产品持有人的权益；</w:t>
      </w:r>
    </w:p>
    <w:p>
      <w:pPr>
        <w:widowControl/>
        <w:spacing w:line="380" w:lineRule="atLeast"/>
        <w:ind w:firstLine="420" w:firstLineChars="200"/>
        <w:rPr>
          <w:rFonts w:ascii="宋体" w:hAnsi="宋体" w:cs="宋体"/>
          <w:bCs/>
          <w:color w:val="000000"/>
          <w:szCs w:val="21"/>
          <w:highlight w:val="none"/>
          <w:lang w:bidi="ar"/>
        </w:rPr>
      </w:pPr>
      <w:r>
        <w:rPr>
          <w:rFonts w:hint="eastAsia" w:ascii="宋体" w:hAnsi="宋体" w:cs="宋体"/>
          <w:bCs/>
          <w:color w:val="000000"/>
          <w:szCs w:val="21"/>
          <w:highlight w:val="none"/>
          <w:lang w:bidi="ar"/>
        </w:rPr>
        <w:t>9</w:t>
      </w:r>
      <w:r>
        <w:rPr>
          <w:rFonts w:ascii="宋体" w:hAnsi="宋体" w:cs="宋体"/>
          <w:bCs/>
          <w:color w:val="000000"/>
          <w:szCs w:val="21"/>
          <w:highlight w:val="none"/>
          <w:lang w:bidi="ar"/>
        </w:rPr>
        <w:t>.</w:t>
      </w:r>
      <w:r>
        <w:rPr>
          <w:rFonts w:hint="eastAsia" w:ascii="宋体" w:hAnsi="宋体" w:cs="宋体"/>
          <w:bCs/>
          <w:color w:val="000000"/>
          <w:szCs w:val="21"/>
          <w:highlight w:val="none"/>
          <w:lang w:bidi="ar"/>
        </w:rPr>
        <w:t>法律法规、监管规定及国家政策规定的其他情形或</w:t>
      </w:r>
      <w:bookmarkEnd w:id="11"/>
      <w:r>
        <w:rPr>
          <w:rFonts w:hint="eastAsia" w:ascii="宋体" w:hAnsi="宋体" w:cs="宋体"/>
          <w:bCs/>
          <w:color w:val="000000"/>
          <w:szCs w:val="21"/>
          <w:highlight w:val="none"/>
          <w:lang w:bidi="ar"/>
        </w:rPr>
        <w:t>管理人认为需要终止的其他情形。</w:t>
      </w:r>
    </w:p>
    <w:p>
      <w:pPr>
        <w:widowControl/>
        <w:spacing w:line="380" w:lineRule="atLeast"/>
        <w:ind w:firstLine="420" w:firstLineChars="200"/>
        <w:rPr>
          <w:rFonts w:ascii="宋体" w:hAnsi="宋体" w:cs="宋体"/>
          <w:bCs/>
          <w:color w:val="000000"/>
          <w:szCs w:val="21"/>
          <w:highlight w:val="none"/>
          <w:lang w:bidi="ar"/>
        </w:rPr>
      </w:pPr>
      <w:r>
        <w:rPr>
          <w:rFonts w:hint="eastAsia" w:ascii="宋体" w:hAnsi="宋体" w:cs="宋体"/>
          <w:bCs/>
          <w:color w:val="000000"/>
          <w:szCs w:val="21"/>
          <w:highlight w:val="none"/>
          <w:lang w:bidi="ar"/>
        </w:rPr>
        <w:t>理财产品不因投资者死亡、丧失民事行为能力、破产而终止；投资者的法定继承人、承继人或指定受益人以及继任管理人承担本理财产品销售文件项下的相应权利和义务。</w:t>
      </w:r>
    </w:p>
    <w:p>
      <w:pPr>
        <w:widowControl/>
        <w:spacing w:line="380" w:lineRule="atLeast"/>
        <w:ind w:firstLine="422" w:firstLineChars="200"/>
        <w:rPr>
          <w:rFonts w:ascii="宋体" w:hAnsi="宋体" w:cs="宋体"/>
          <w:b/>
          <w:color w:val="000000"/>
          <w:szCs w:val="21"/>
          <w:highlight w:val="none"/>
          <w:lang w:bidi="ar"/>
        </w:rPr>
      </w:pPr>
      <w:r>
        <w:rPr>
          <w:rFonts w:hint="eastAsia" w:ascii="宋体" w:hAnsi="宋体" w:cs="宋体"/>
          <w:b/>
          <w:color w:val="000000"/>
          <w:szCs w:val="21"/>
          <w:highlight w:val="none"/>
          <w:lang w:bidi="ar"/>
        </w:rPr>
        <w:t>（四）发生下列任一情形的，产品管理人有权以投资者利益最大化为原则，根据市场情况综合判断决定延长产品期限，推迟理财产品到期日：</w:t>
      </w:r>
    </w:p>
    <w:p>
      <w:pPr>
        <w:widowControl/>
        <w:spacing w:line="380" w:lineRule="atLeast"/>
        <w:ind w:firstLine="420" w:firstLineChars="200"/>
        <w:rPr>
          <w:rFonts w:ascii="宋体" w:hAnsi="宋体" w:cs="宋体"/>
          <w:bCs/>
          <w:color w:val="000000"/>
          <w:szCs w:val="21"/>
          <w:highlight w:val="none"/>
          <w:lang w:bidi="ar"/>
        </w:rPr>
      </w:pPr>
      <w:r>
        <w:rPr>
          <w:rFonts w:ascii="宋体" w:hAnsi="宋体" w:cs="宋体"/>
          <w:bCs/>
          <w:color w:val="000000"/>
          <w:szCs w:val="21"/>
          <w:highlight w:val="none"/>
          <w:lang w:bidi="ar"/>
        </w:rPr>
        <w:t>1.</w:t>
      </w:r>
      <w:r>
        <w:rPr>
          <w:rFonts w:hint="eastAsia" w:ascii="宋体" w:hAnsi="宋体" w:cs="宋体"/>
          <w:bCs/>
          <w:color w:val="000000"/>
          <w:szCs w:val="21"/>
          <w:highlight w:val="none"/>
          <w:lang w:bidi="ar"/>
        </w:rPr>
        <w:t>预计在理财产品预计到期日，理财产品财产因理财产品所投资的资产的市场风险、信用风险等原因将无法全部变现；</w:t>
      </w:r>
    </w:p>
    <w:p>
      <w:pPr>
        <w:widowControl/>
        <w:spacing w:line="380" w:lineRule="atLeast"/>
        <w:ind w:firstLine="420" w:firstLineChars="200"/>
        <w:rPr>
          <w:rFonts w:ascii="宋体" w:hAnsi="宋体" w:cs="宋体"/>
          <w:bCs/>
          <w:color w:val="000000"/>
          <w:szCs w:val="21"/>
          <w:highlight w:val="none"/>
          <w:lang w:bidi="ar"/>
        </w:rPr>
      </w:pPr>
      <w:r>
        <w:rPr>
          <w:rFonts w:ascii="宋体" w:hAnsi="宋体" w:cs="宋体"/>
          <w:bCs/>
          <w:color w:val="000000"/>
          <w:szCs w:val="21"/>
          <w:highlight w:val="none"/>
          <w:lang w:bidi="ar"/>
        </w:rPr>
        <w:t>2.</w:t>
      </w:r>
      <w:r>
        <w:rPr>
          <w:rFonts w:hint="eastAsia" w:ascii="宋体" w:hAnsi="宋体" w:cs="宋体"/>
          <w:bCs/>
          <w:color w:val="000000"/>
          <w:szCs w:val="21"/>
          <w:highlight w:val="none"/>
          <w:lang w:bidi="ar"/>
        </w:rPr>
        <w:t>预计理财产品所投资的信托计划、资管计划、私募基金的受托人或管理人将不能按期向产品管理人划付理财产品的本金和收益；</w:t>
      </w:r>
    </w:p>
    <w:p>
      <w:pPr>
        <w:widowControl/>
        <w:spacing w:line="380" w:lineRule="atLeast"/>
        <w:ind w:firstLine="420" w:firstLineChars="200"/>
        <w:rPr>
          <w:rFonts w:ascii="宋体" w:hAnsi="宋体" w:cs="宋体"/>
          <w:bCs/>
          <w:color w:val="000000"/>
          <w:szCs w:val="21"/>
          <w:highlight w:val="none"/>
          <w:lang w:bidi="ar"/>
        </w:rPr>
      </w:pPr>
      <w:r>
        <w:rPr>
          <w:rFonts w:ascii="宋体" w:hAnsi="宋体" w:cs="宋体"/>
          <w:bCs/>
          <w:color w:val="000000"/>
          <w:szCs w:val="21"/>
          <w:highlight w:val="none"/>
          <w:lang w:bidi="ar"/>
        </w:rPr>
        <w:t>3.</w:t>
      </w:r>
      <w:r>
        <w:rPr>
          <w:rFonts w:hint="eastAsia" w:ascii="宋体" w:hAnsi="宋体" w:cs="宋体"/>
          <w:bCs/>
          <w:color w:val="000000"/>
          <w:szCs w:val="21"/>
          <w:highlight w:val="none"/>
          <w:lang w:bidi="ar"/>
        </w:rPr>
        <w:t>理财产品财产涉及诉讼（或仲裁），且预计诉讼（或仲裁）及执行程序于理财产品预计到期日尚未终结；</w:t>
      </w:r>
    </w:p>
    <w:p>
      <w:pPr>
        <w:widowControl/>
        <w:spacing w:line="380" w:lineRule="atLeast"/>
        <w:ind w:firstLine="420" w:firstLineChars="200"/>
        <w:rPr>
          <w:rFonts w:ascii="宋体" w:hAnsi="宋体" w:cs="宋体"/>
          <w:bCs/>
          <w:color w:val="000000"/>
          <w:szCs w:val="21"/>
          <w:highlight w:val="none"/>
          <w:lang w:bidi="ar"/>
        </w:rPr>
      </w:pPr>
      <w:r>
        <w:rPr>
          <w:rFonts w:ascii="宋体" w:hAnsi="宋体" w:cs="宋体"/>
          <w:bCs/>
          <w:color w:val="000000"/>
          <w:szCs w:val="21"/>
          <w:highlight w:val="none"/>
          <w:lang w:bidi="ar"/>
        </w:rPr>
        <w:t>4.</w:t>
      </w:r>
      <w:r>
        <w:rPr>
          <w:rFonts w:hint="eastAsia" w:ascii="宋体" w:hAnsi="宋体" w:cs="宋体"/>
          <w:bCs/>
          <w:color w:val="000000"/>
          <w:szCs w:val="21"/>
          <w:highlight w:val="none"/>
          <w:lang w:bidi="ar"/>
        </w:rPr>
        <w:t>管理人与托管人、代理销售机构协商一致决定延期；</w:t>
      </w:r>
    </w:p>
    <w:p>
      <w:pPr>
        <w:widowControl/>
        <w:spacing w:line="380" w:lineRule="atLeast"/>
        <w:ind w:firstLine="420" w:firstLineChars="200"/>
        <w:rPr>
          <w:rFonts w:ascii="宋体" w:hAnsi="宋体" w:cs="宋体"/>
          <w:bCs/>
          <w:color w:val="000000"/>
          <w:szCs w:val="21"/>
          <w:highlight w:val="none"/>
          <w:lang w:bidi="ar"/>
        </w:rPr>
      </w:pPr>
      <w:r>
        <w:rPr>
          <w:rFonts w:ascii="宋体" w:hAnsi="宋体" w:cs="宋体"/>
          <w:bCs/>
          <w:color w:val="000000"/>
          <w:szCs w:val="21"/>
          <w:highlight w:val="none"/>
          <w:lang w:bidi="ar"/>
        </w:rPr>
        <w:t>5.</w:t>
      </w:r>
      <w:r>
        <w:rPr>
          <w:rFonts w:hint="eastAsia" w:ascii="宋体" w:hAnsi="宋体" w:cs="宋体"/>
          <w:bCs/>
          <w:color w:val="000000"/>
          <w:szCs w:val="21"/>
          <w:highlight w:val="none"/>
          <w:lang w:bidi="ar"/>
        </w:rPr>
        <w:t>管理人认为有必要延期的其他情形；</w:t>
      </w:r>
    </w:p>
    <w:p>
      <w:pPr>
        <w:widowControl/>
        <w:spacing w:line="380" w:lineRule="atLeast"/>
        <w:ind w:firstLine="420" w:firstLineChars="200"/>
        <w:rPr>
          <w:rFonts w:ascii="宋体" w:hAnsi="宋体" w:cs="宋体"/>
          <w:bCs/>
          <w:color w:val="000000"/>
          <w:szCs w:val="21"/>
          <w:highlight w:val="none"/>
          <w:lang w:bidi="ar"/>
        </w:rPr>
      </w:pPr>
      <w:r>
        <w:rPr>
          <w:rFonts w:ascii="宋体" w:hAnsi="宋体" w:cs="宋体"/>
          <w:bCs/>
          <w:color w:val="000000"/>
          <w:szCs w:val="21"/>
          <w:highlight w:val="none"/>
          <w:lang w:bidi="ar"/>
        </w:rPr>
        <w:t>6.</w:t>
      </w:r>
      <w:r>
        <w:rPr>
          <w:rFonts w:hint="eastAsia" w:ascii="宋体" w:hAnsi="宋体" w:cs="宋体"/>
          <w:bCs/>
          <w:color w:val="000000"/>
          <w:szCs w:val="21"/>
          <w:highlight w:val="none"/>
          <w:lang w:bidi="ar"/>
        </w:rPr>
        <w:t>法律规定的及本理财产品说明书约定的其他情形。</w:t>
      </w:r>
    </w:p>
    <w:p>
      <w:pPr>
        <w:widowControl/>
        <w:spacing w:line="380" w:lineRule="atLeast"/>
        <w:ind w:firstLine="420" w:firstLineChars="200"/>
        <w:rPr>
          <w:rFonts w:ascii="宋体" w:hAnsi="宋体" w:cs="宋体"/>
          <w:b/>
          <w:color w:val="000000"/>
          <w:szCs w:val="21"/>
          <w:highlight w:val="none"/>
          <w:lang w:bidi="ar"/>
        </w:rPr>
      </w:pPr>
      <w:r>
        <w:rPr>
          <w:rFonts w:hint="eastAsia" w:ascii="宋体" w:hAnsi="宋体" w:cs="宋体"/>
          <w:bCs/>
          <w:color w:val="000000"/>
          <w:szCs w:val="21"/>
          <w:highlight w:val="none"/>
          <w:lang w:bidi="ar"/>
        </w:rPr>
        <w:t>如管理人决定本理财产品延期的，将于理财产品预计到期日前</w:t>
      </w:r>
      <w:r>
        <w:rPr>
          <w:rFonts w:ascii="宋体" w:hAnsi="宋体" w:cs="宋体"/>
          <w:bCs/>
          <w:color w:val="000000"/>
          <w:szCs w:val="21"/>
          <w:highlight w:val="none"/>
          <w:lang w:bidi="ar"/>
        </w:rPr>
        <w:t>5</w:t>
      </w:r>
      <w:r>
        <w:rPr>
          <w:rFonts w:hint="eastAsia" w:ascii="宋体" w:hAnsi="宋体" w:cs="宋体"/>
          <w:bCs/>
          <w:color w:val="000000"/>
          <w:szCs w:val="21"/>
          <w:highlight w:val="none"/>
          <w:lang w:bidi="ar"/>
        </w:rPr>
        <w:t>个工作日通过本理财产品说明书“信息披露”约定的方式，向投资者披露，对延期事项进行说明，并说明延期期限及到期之日，自披露之日即视为相关信息已送达，并据约定生效之日起生效。若投资者如不同意延期的，可在产品管理人公告的延期事项生效前赎回本理财产品（此种情况下产品管理人将可能在赎回开放日外单独开放特殊赎回期间，具体以届时公告为准），</w:t>
      </w:r>
      <w:r>
        <w:rPr>
          <w:rFonts w:hint="eastAsia" w:ascii="宋体" w:hAnsi="宋体" w:cs="宋体"/>
          <w:b/>
          <w:color w:val="000000"/>
          <w:szCs w:val="21"/>
          <w:highlight w:val="none"/>
          <w:lang w:bidi="ar"/>
        </w:rPr>
        <w:t>逾期未赎回的视为同意。</w:t>
      </w:r>
    </w:p>
    <w:p>
      <w:pPr>
        <w:widowControl/>
        <w:spacing w:line="380" w:lineRule="atLeast"/>
        <w:ind w:firstLine="422" w:firstLineChars="200"/>
        <w:rPr>
          <w:rFonts w:ascii="宋体" w:hAnsi="宋体"/>
          <w:b/>
          <w:szCs w:val="21"/>
          <w:highlight w:val="none"/>
        </w:rPr>
      </w:pPr>
      <w:r>
        <w:rPr>
          <w:rFonts w:hint="eastAsia" w:ascii="宋体" w:hAnsi="宋体" w:cs="宋体"/>
          <w:b/>
          <w:color w:val="000000"/>
          <w:szCs w:val="21"/>
          <w:highlight w:val="none"/>
          <w:lang w:bidi="ar"/>
        </w:rPr>
        <w:t>（五）理财产品终止后，产品管理人将根据届时适用法律规定和监管机构的指引、要求及</w:t>
      </w:r>
      <w:r>
        <w:rPr>
          <w:rFonts w:ascii="宋体" w:hAnsi="宋体" w:cs="宋体"/>
          <w:b/>
          <w:color w:val="000000"/>
          <w:szCs w:val="21"/>
          <w:highlight w:val="none"/>
          <w:lang w:bidi="ar"/>
        </w:rPr>
        <w:t>/</w:t>
      </w:r>
      <w:r>
        <w:rPr>
          <w:rFonts w:hint="eastAsia" w:ascii="宋体" w:hAnsi="宋体" w:cs="宋体"/>
          <w:b/>
          <w:color w:val="000000"/>
          <w:szCs w:val="21"/>
          <w:highlight w:val="none"/>
          <w:lang w:bidi="ar"/>
        </w:rPr>
        <w:t>或管理人的规定以及本理财产品销售文件的约定对本理财产品进行清算。</w:t>
      </w:r>
    </w:p>
    <w:p>
      <w:pPr>
        <w:spacing w:line="360" w:lineRule="auto"/>
        <w:ind w:firstLine="422" w:firstLineChars="200"/>
        <w:outlineLvl w:val="1"/>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十七、信息披露</w:t>
      </w:r>
    </w:p>
    <w:p>
      <w:pPr>
        <w:widowControl/>
        <w:spacing w:line="380" w:lineRule="atLeast"/>
        <w:ind w:firstLine="420"/>
        <w:rPr>
          <w:rFonts w:ascii="宋体" w:hAnsi="宋体" w:cs="宋体"/>
          <w:b/>
          <w:color w:val="000000"/>
          <w:szCs w:val="21"/>
          <w:highlight w:val="none"/>
          <w:lang w:bidi="ar"/>
        </w:rPr>
      </w:pPr>
      <w:r>
        <w:rPr>
          <w:rFonts w:hint="eastAsia" w:ascii="宋体" w:hAnsi="宋体" w:cs="宋体"/>
          <w:b/>
          <w:color w:val="000000"/>
          <w:szCs w:val="21"/>
          <w:highlight w:val="none"/>
          <w:lang w:bidi="ar"/>
        </w:rPr>
        <w:t>（一）信息披露渠道</w:t>
      </w:r>
    </w:p>
    <w:p>
      <w:pPr>
        <w:widowControl/>
        <w:spacing w:line="380" w:lineRule="atLeast"/>
        <w:ind w:left="181" w:leftChars="86" w:firstLine="420"/>
        <w:rPr>
          <w:rFonts w:ascii="宋体" w:hAnsi="宋体" w:cs="宋体"/>
          <w:b/>
          <w:color w:val="000000"/>
          <w:szCs w:val="21"/>
          <w:highlight w:val="none"/>
          <w:lang w:bidi="ar"/>
        </w:rPr>
      </w:pPr>
      <w:r>
        <w:rPr>
          <w:rFonts w:hint="eastAsia" w:ascii="宋体" w:hAnsi="宋体" w:cs="宋体"/>
          <w:b/>
          <w:color w:val="000000"/>
          <w:szCs w:val="21"/>
          <w:highlight w:val="none"/>
          <w:lang w:bidi="ar"/>
        </w:rPr>
        <w:t>本理财产品存续期间内，产品管理人授权的恒丰银行官方网站（www.hfbank.com.cn）以及产品管理人指定的其他信息平台和渠道（包括代理销售机构营业网点或网上银行、手机银行、电子邮件、电话、手机短信等）等一种或多种方式均作为本理财产品的信息披露渠道。投资者应定期通过上述相关渠道获知有关本理财产品相关信息。以上相关信息自披露之日即视为已送达投资者，也视为代理销售机构已适当披露其代销理财产品相关信息。</w:t>
      </w:r>
    </w:p>
    <w:p>
      <w:pPr>
        <w:widowControl/>
        <w:spacing w:line="380" w:lineRule="atLeast"/>
        <w:ind w:left="181" w:leftChars="86" w:firstLine="420"/>
        <w:rPr>
          <w:rFonts w:ascii="宋体" w:hAnsi="宋体" w:cs="宋体"/>
          <w:b/>
          <w:color w:val="000000"/>
          <w:szCs w:val="21"/>
          <w:highlight w:val="none"/>
          <w:lang w:bidi="ar"/>
        </w:rPr>
      </w:pPr>
      <w:r>
        <w:rPr>
          <w:rFonts w:hint="eastAsia" w:ascii="宋体" w:hAnsi="宋体" w:cs="宋体"/>
          <w:b/>
          <w:color w:val="000000"/>
          <w:szCs w:val="21"/>
          <w:highlight w:val="none"/>
          <w:lang w:bidi="ar"/>
        </w:rPr>
        <w:t>（二）信息披露频率</w:t>
      </w:r>
    </w:p>
    <w:p>
      <w:pPr>
        <w:widowControl/>
        <w:spacing w:line="380" w:lineRule="atLeast"/>
        <w:ind w:left="181" w:leftChars="86" w:firstLine="420"/>
        <w:rPr>
          <w:rFonts w:ascii="Calibri" w:hAnsi="Calibri" w:cs="Calibri"/>
          <w:color w:val="000000"/>
          <w:szCs w:val="21"/>
          <w:highlight w:val="none"/>
        </w:rPr>
      </w:pPr>
      <w:r>
        <w:rPr>
          <w:rFonts w:hint="eastAsia" w:ascii="宋体" w:hAnsi="宋体" w:cs="宋体"/>
          <w:b/>
          <w:color w:val="000000"/>
          <w:szCs w:val="21"/>
          <w:highlight w:val="none"/>
          <w:lang w:bidi="ar"/>
        </w:rPr>
        <w:t>1</w:t>
      </w:r>
      <w:r>
        <w:rPr>
          <w:rFonts w:ascii="宋体" w:hAnsi="宋体" w:cs="宋体"/>
          <w:b/>
          <w:color w:val="000000"/>
          <w:szCs w:val="21"/>
          <w:highlight w:val="none"/>
          <w:lang w:bidi="ar"/>
        </w:rPr>
        <w:t>.</w:t>
      </w:r>
      <w:r>
        <w:rPr>
          <w:rFonts w:hint="eastAsia" w:ascii="宋体" w:hAnsi="宋体" w:cs="宋体"/>
          <w:b/>
          <w:color w:val="000000"/>
          <w:szCs w:val="21"/>
          <w:highlight w:val="none"/>
          <w:lang w:bidi="ar"/>
        </w:rPr>
        <w:t>理财产品发行事项公告</w:t>
      </w:r>
    </w:p>
    <w:p>
      <w:pPr>
        <w:widowControl/>
        <w:spacing w:line="380" w:lineRule="atLeast"/>
        <w:ind w:left="181" w:leftChars="86" w:firstLine="420"/>
        <w:rPr>
          <w:rFonts w:ascii="Calibri" w:hAnsi="Calibri" w:cs="Calibri"/>
          <w:color w:val="000000"/>
          <w:szCs w:val="21"/>
          <w:highlight w:val="none"/>
        </w:rPr>
      </w:pPr>
      <w:r>
        <w:rPr>
          <w:rFonts w:hint="eastAsia" w:ascii="宋体" w:hAnsi="宋体" w:cs="宋体"/>
          <w:color w:val="000000"/>
          <w:szCs w:val="21"/>
          <w:highlight w:val="none"/>
          <w:lang w:bidi="ar"/>
        </w:rPr>
        <w:t>产品管理人将在本理财产品成立后5个工作日内通过本条第（一）款约定的信息披露渠道披露本产品发行公告。若产品认购期新出台的法律、法规导致本理财产品不适宜成立运行，或理财产品认购总金额未达到认购规模下限，或出现其他影响本理财产品正常运作的情况，则产品管理人有权宣布本理财产品不能成立，并在认购期结束后5个工作日内通过本条第（一）款约定的信息披露渠道进行公告。</w:t>
      </w:r>
    </w:p>
    <w:p>
      <w:pPr>
        <w:widowControl/>
        <w:spacing w:line="380" w:lineRule="atLeast"/>
        <w:ind w:left="181" w:leftChars="86" w:firstLine="420"/>
        <w:rPr>
          <w:rFonts w:ascii="Calibri" w:hAnsi="Calibri" w:cs="Calibri"/>
          <w:color w:val="000000"/>
          <w:szCs w:val="21"/>
          <w:highlight w:val="none"/>
        </w:rPr>
      </w:pPr>
      <w:r>
        <w:rPr>
          <w:rFonts w:hint="eastAsia" w:ascii="宋体" w:hAnsi="宋体" w:cs="宋体"/>
          <w:b/>
          <w:color w:val="000000"/>
          <w:szCs w:val="21"/>
          <w:highlight w:val="none"/>
          <w:lang w:bidi="ar"/>
        </w:rPr>
        <w:t>2</w:t>
      </w:r>
      <w:r>
        <w:rPr>
          <w:rFonts w:ascii="宋体" w:hAnsi="宋体" w:cs="宋体"/>
          <w:b/>
          <w:color w:val="000000"/>
          <w:szCs w:val="21"/>
          <w:highlight w:val="none"/>
          <w:lang w:bidi="ar"/>
        </w:rPr>
        <w:t>.</w:t>
      </w:r>
      <w:r>
        <w:rPr>
          <w:rFonts w:hint="eastAsia" w:ascii="宋体" w:hAnsi="宋体" w:cs="宋体"/>
          <w:b/>
          <w:color w:val="000000"/>
          <w:szCs w:val="21"/>
          <w:highlight w:val="none"/>
          <w:lang w:bidi="ar"/>
        </w:rPr>
        <w:t>理财产品定期报告</w:t>
      </w:r>
    </w:p>
    <w:p>
      <w:pPr>
        <w:widowControl/>
        <w:spacing w:line="380" w:lineRule="atLeast"/>
        <w:ind w:firstLine="420" w:firstLineChars="200"/>
        <w:rPr>
          <w:rFonts w:ascii="宋体" w:hAnsi="宋体" w:cs="宋体"/>
          <w:color w:val="000000"/>
          <w:szCs w:val="21"/>
          <w:highlight w:val="none"/>
          <w:lang w:bidi="ar"/>
        </w:rPr>
      </w:pPr>
      <w:r>
        <w:rPr>
          <w:rFonts w:hint="eastAsia" w:ascii="宋体" w:hAnsi="宋体" w:cs="宋体"/>
          <w:color w:val="000000"/>
          <w:szCs w:val="21"/>
          <w:highlight w:val="none"/>
          <w:lang w:bidi="ar"/>
        </w:rPr>
        <w:t>（1）产品管理人将在每个季度结束之日起15个工作日内、每个上半年结束之日起60个工作日内、每个年度结束之日起90个工作日内撰写并编制理财产品运行报告，披露本产品季度、半年和年度报告等定期报告，向投资者披露投资状况、投资表现、理财产品风险状况、流动性风险分析、关联交易等信息，并将理财产品运行报告通过本条第（一）款约定的信息披露渠道予以披露。产品成立不足90个工作日或者剩余存续期不超过90个工作日的，管理人可以不编制理财产品当期的季度、半年和年度报告。</w:t>
      </w:r>
    </w:p>
    <w:p>
      <w:pPr>
        <w:widowControl/>
        <w:spacing w:line="380" w:lineRule="atLeast"/>
        <w:ind w:firstLine="420" w:firstLineChars="200"/>
        <w:rPr>
          <w:rFonts w:ascii="Calibri" w:hAnsi="Calibri" w:cs="Calibri"/>
          <w:color w:val="000000"/>
          <w:szCs w:val="21"/>
          <w:highlight w:val="none"/>
        </w:rPr>
      </w:pPr>
      <w:r>
        <w:rPr>
          <w:rFonts w:hint="eastAsia" w:ascii="宋体" w:hAnsi="宋体" w:cs="宋体"/>
          <w:color w:val="000000"/>
          <w:szCs w:val="21"/>
          <w:highlight w:val="none"/>
          <w:lang w:bidi="ar"/>
        </w:rPr>
        <w:t>（2）本产品成立后，将于每个估值日以及理财产品到期日（或实际终止日）对理财产品进行估值，并于估值日后的2个工作日内通过本条第（一）款约定的信息披露渠道予以公告。</w:t>
      </w:r>
    </w:p>
    <w:p>
      <w:pPr>
        <w:widowControl/>
        <w:spacing w:line="380" w:lineRule="atLeast"/>
        <w:ind w:firstLine="420"/>
        <w:rPr>
          <w:rFonts w:ascii="Calibri" w:hAnsi="Calibri" w:cs="Calibri"/>
          <w:color w:val="000000"/>
          <w:szCs w:val="21"/>
          <w:highlight w:val="none"/>
        </w:rPr>
      </w:pPr>
      <w:r>
        <w:rPr>
          <w:rFonts w:hint="eastAsia" w:ascii="宋体" w:hAnsi="宋体" w:cs="宋体"/>
          <w:b/>
          <w:color w:val="000000"/>
          <w:szCs w:val="21"/>
          <w:highlight w:val="none"/>
          <w:lang w:bidi="ar"/>
        </w:rPr>
        <w:t>3</w:t>
      </w:r>
      <w:r>
        <w:rPr>
          <w:rFonts w:ascii="宋体" w:hAnsi="宋体" w:cs="宋体"/>
          <w:b/>
          <w:color w:val="000000"/>
          <w:szCs w:val="21"/>
          <w:highlight w:val="none"/>
          <w:lang w:bidi="ar"/>
        </w:rPr>
        <w:t>.</w:t>
      </w:r>
      <w:r>
        <w:rPr>
          <w:rFonts w:hint="eastAsia" w:ascii="宋体" w:hAnsi="宋体" w:cs="宋体"/>
          <w:b/>
          <w:color w:val="000000"/>
          <w:szCs w:val="21"/>
          <w:highlight w:val="none"/>
          <w:lang w:bidi="ar"/>
        </w:rPr>
        <w:t>理财产品存续期间的临时信息披露</w:t>
      </w:r>
    </w:p>
    <w:p>
      <w:pPr>
        <w:spacing w:line="380" w:lineRule="exact"/>
        <w:ind w:firstLine="420" w:firstLineChars="20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（1）发生产品管理人、产品托管人变更的情形的，管理人将至少提前【</w:t>
      </w:r>
      <w:r>
        <w:rPr>
          <w:rFonts w:hint="eastAsia" w:asciiTheme="minorEastAsia" w:hAnsiTheme="minorEastAsia"/>
          <w:color w:val="000000" w:themeColor="text1"/>
          <w:szCs w:val="21"/>
          <w:highlight w:val="none"/>
          <w:lang w:val="en-US" w:eastAsia="zh-CN"/>
          <w14:textFill>
            <w14:solidFill>
              <w14:schemeClr w14:val="tx1"/>
            </w14:solidFill>
          </w14:textFill>
        </w:rPr>
        <w:t>3</w:t>
      </w:r>
      <w:r>
        <w:rPr>
          <w:rFonts w:hint="eastAsia" w:asciiTheme="minorEastAsia" w:hAnsiTheme="minorEastAsia"/>
          <w:color w:val="000000" w:themeColor="text1"/>
          <w:szCs w:val="21"/>
          <w:highlight w:val="none"/>
          <w14:textFill>
            <w14:solidFill>
              <w14:schemeClr w14:val="tx1"/>
            </w14:solidFill>
          </w14:textFill>
        </w:rPr>
        <w:t>】个工作日通过</w:t>
      </w:r>
      <w:r>
        <w:rPr>
          <w:rFonts w:hint="eastAsia" w:ascii="宋体" w:hAnsi="宋体" w:cs="宋体"/>
          <w:color w:val="000000"/>
          <w:szCs w:val="21"/>
          <w:highlight w:val="none"/>
          <w:lang w:bidi="ar"/>
        </w:rPr>
        <w:t>本条第（一）款约定的信息披露渠道</w:t>
      </w:r>
      <w:r>
        <w:rPr>
          <w:rFonts w:hint="eastAsia" w:asciiTheme="minorEastAsia" w:hAnsiTheme="minorEastAsia"/>
          <w:color w:val="000000" w:themeColor="text1"/>
          <w:szCs w:val="21"/>
          <w:highlight w:val="none"/>
          <w14:textFill>
            <w14:solidFill>
              <w14:schemeClr w14:val="tx1"/>
            </w14:solidFill>
          </w14:textFill>
        </w:rPr>
        <w:t>以临时公告形式向投资者进行信息披露。</w:t>
      </w:r>
    </w:p>
    <w:p>
      <w:pPr>
        <w:widowControl/>
        <w:spacing w:line="380" w:lineRule="exact"/>
        <w:ind w:firstLine="420" w:firstLineChars="200"/>
        <w:rPr>
          <w:rFonts w:asciiTheme="minorEastAsia" w:hAnsiTheme="minorEastAsia"/>
          <w:b/>
          <w:bCs/>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（2）</w:t>
      </w:r>
      <w:r>
        <w:rPr>
          <w:rFonts w:hint="eastAsia" w:ascii="宋体" w:hAnsi="宋体" w:cs="宋体"/>
          <w:color w:val="000000"/>
          <w:szCs w:val="21"/>
          <w:highlight w:val="none"/>
          <w:lang w:bidi="ar"/>
        </w:rPr>
        <w:t>理财产品存续期间，如果发生产品管理人认为可能影响理财产品政策运作的重大不利事项时，包括但不限于未按照产品说明书约定分配收益；理财产品所投资产出现重大损失；经营情况出现重大变化或涉及法律纠纷；市场发生重大变化、投资的资产质量发生重大变化或者其它可能对投资者权益产生重大影响的突发事件等经产品管理人判断对理财投资价值有实质性影响的重大事件，产品管理人应于上述事项发生之日起2个工作日内通过本条第（一）款约定的信息披露渠道向理财产品份额持有人披露相关信息</w:t>
      </w:r>
      <w:r>
        <w:rPr>
          <w:rFonts w:hint="eastAsia" w:asciiTheme="minorEastAsia" w:hAnsiTheme="minorEastAsia"/>
          <w:color w:val="000000" w:themeColor="text1"/>
          <w:szCs w:val="21"/>
          <w:highlight w:val="none"/>
          <w14:textFill>
            <w14:solidFill>
              <w14:schemeClr w14:val="tx1"/>
            </w14:solidFill>
          </w14:textFill>
        </w:rPr>
        <w:t>。其中，</w:t>
      </w:r>
      <w:r>
        <w:rPr>
          <w:rFonts w:hint="eastAsia" w:asciiTheme="minorEastAsia" w:hAnsiTheme="minorEastAsia"/>
          <w:b/>
          <w:bCs/>
          <w:color w:val="000000" w:themeColor="text1"/>
          <w:szCs w:val="21"/>
          <w:highlight w:val="none"/>
          <w14:textFill>
            <w14:solidFill>
              <w14:schemeClr w14:val="tx1"/>
            </w14:solidFill>
          </w14:textFill>
        </w:rPr>
        <w:t>涉及投资范围、投资资产种类、投资比例调整导致其超出销售文件约定比例的，除超出比例投资比本理财产品风险更低的资产外，需取得投资者书面同意。对于投资者利益产生实质影响的事项（如对投资范围、投资资产种类、投资比例进行调整，新增收费项目、提高收费标准等），投资者如不同意相关调整的，可在产品管理人披露的相关调整生效前赎回本理财产品（此种情况下产品管理人将可能在赎回开放日外单独开放特殊赎回期间，具体以届时产品管理人的公告为准），</w:t>
      </w:r>
      <w:r>
        <w:rPr>
          <w:rFonts w:hint="eastAsia" w:asciiTheme="minorEastAsia" w:hAnsiTheme="minorEastAsia"/>
          <w:color w:val="000000" w:themeColor="text1"/>
          <w:szCs w:val="21"/>
          <w:highlight w:val="none"/>
          <w14:textFill>
            <w14:solidFill>
              <w14:schemeClr w14:val="tx1"/>
            </w14:solidFill>
          </w14:textFill>
        </w:rPr>
        <w:t>投资者本金和收益（如有）将在赎回确认日后【</w:t>
      </w:r>
      <w:r>
        <w:rPr>
          <w:rFonts w:hint="eastAsia" w:asciiTheme="minorEastAsia" w:hAnsiTheme="minorEastAsia"/>
          <w:color w:val="000000" w:themeColor="text1"/>
          <w:szCs w:val="21"/>
          <w:highlight w:val="none"/>
          <w:lang w:val="en-US" w:eastAsia="zh-CN"/>
          <w14:textFill>
            <w14:solidFill>
              <w14:schemeClr w14:val="tx1"/>
            </w14:solidFill>
          </w14:textFill>
        </w:rPr>
        <w:t>3</w:t>
      </w:r>
      <w:r>
        <w:rPr>
          <w:rFonts w:hint="eastAsia" w:asciiTheme="minorEastAsia" w:hAnsiTheme="minorEastAsia"/>
          <w:color w:val="000000" w:themeColor="text1"/>
          <w:szCs w:val="21"/>
          <w:highlight w:val="none"/>
          <w14:textFill>
            <w14:solidFill>
              <w14:schemeClr w14:val="tx1"/>
            </w14:solidFill>
          </w14:textFill>
        </w:rPr>
        <w:t>】个工作日内通过代理销售机构划转至投资者账户，代销机构另有规定的，从其规定。</w:t>
      </w:r>
      <w:r>
        <w:rPr>
          <w:rFonts w:hint="eastAsia" w:asciiTheme="minorEastAsia" w:hAnsiTheme="minorEastAsia"/>
          <w:b/>
          <w:bCs/>
          <w:color w:val="000000" w:themeColor="text1"/>
          <w:szCs w:val="21"/>
          <w:highlight w:val="none"/>
          <w14:textFill>
            <w14:solidFill>
              <w14:schemeClr w14:val="tx1"/>
            </w14:solidFill>
          </w14:textFill>
        </w:rPr>
        <w:t>逾期未赎回的视为投资者书面同意相关调整并继续持有本理财产品。</w:t>
      </w:r>
    </w:p>
    <w:p>
      <w:pPr>
        <w:widowControl/>
        <w:spacing w:line="380" w:lineRule="atLeast"/>
        <w:ind w:firstLine="420"/>
        <w:rPr>
          <w:rFonts w:ascii="宋体" w:hAnsi="宋体" w:cs="宋体"/>
          <w:color w:val="000000"/>
          <w:szCs w:val="21"/>
          <w:highlight w:val="none"/>
          <w:lang w:bidi="ar"/>
        </w:rPr>
      </w:pPr>
      <w:r>
        <w:rPr>
          <w:rFonts w:hint="eastAsia" w:ascii="宋体" w:hAnsi="宋体" w:cs="宋体"/>
          <w:color w:val="000000"/>
          <w:szCs w:val="21"/>
          <w:highlight w:val="none"/>
          <w:lang w:bidi="ar"/>
        </w:rPr>
        <w:t>（3）如产品管理人决定运用收取强制赎回费（如有）、暂停认</w:t>
      </w:r>
      <w:r>
        <w:rPr>
          <w:rFonts w:ascii="宋体" w:hAnsi="宋体" w:cs="宋体"/>
          <w:color w:val="000000"/>
          <w:szCs w:val="21"/>
          <w:highlight w:val="none"/>
          <w:lang w:bidi="ar"/>
        </w:rPr>
        <w:t>/申购、延期办理巨额赎回申请、暂停接受赎回申请、延缓支付赎回款项、暂停理财产品估值等流动性风险应对措施的，将在运用以上流动性风险应对措施后的3个交易日内通过约定的信息披露渠道进行信息披露。对于运用暂停认/申购、延期办理巨额赎回申请、暂停接受赎回申请、延缓支付赎回款项、暂停理财产品估值等措施的，产品管理人还将说明运用相关措施的原因、拟采取的应对安排等。</w:t>
      </w:r>
    </w:p>
    <w:p>
      <w:pPr>
        <w:pStyle w:val="2"/>
        <w:ind w:firstLine="420" w:firstLineChars="200"/>
        <w:rPr>
          <w:highlight w:val="none"/>
        </w:rPr>
      </w:pPr>
      <w:r>
        <w:rPr>
          <w:rFonts w:hint="eastAsia" w:ascii="宋体" w:hAnsi="宋体" w:cs="宋体"/>
          <w:color w:val="000000"/>
          <w:sz w:val="21"/>
          <w:szCs w:val="21"/>
          <w:highlight w:val="none"/>
          <w:lang w:bidi="ar"/>
        </w:rPr>
        <w:t>（4）其他监管未明确要求披露时间的临时性调整，至少提前2个工作日公告。</w:t>
      </w:r>
    </w:p>
    <w:p>
      <w:pPr>
        <w:spacing w:line="380" w:lineRule="exact"/>
        <w:ind w:firstLine="422" w:firstLineChars="200"/>
        <w:rPr>
          <w:rFonts w:asciiTheme="minorEastAsia" w:hAnsiTheme="minorEastAsia"/>
          <w:b/>
          <w:bCs/>
          <w:color w:val="000000" w:themeColor="text1"/>
          <w:kern w:val="0"/>
          <w:szCs w:val="21"/>
          <w:highlight w:val="none"/>
          <w14:textFill>
            <w14:solidFill>
              <w14:schemeClr w14:val="tx1"/>
            </w14:solidFill>
          </w14:textFill>
        </w:rPr>
      </w:pPr>
      <w:r>
        <w:rPr>
          <w:rFonts w:asciiTheme="minorEastAsia" w:hAnsiTheme="minorEastAsia"/>
          <w:b/>
          <w:bCs/>
          <w:color w:val="000000" w:themeColor="text1"/>
          <w:kern w:val="0"/>
          <w:szCs w:val="21"/>
          <w:highlight w:val="none"/>
          <w14:textFill>
            <w14:solidFill>
              <w14:schemeClr w14:val="tx1"/>
            </w14:solidFill>
          </w14:textFill>
        </w:rPr>
        <w:t>4.</w:t>
      </w:r>
      <w:r>
        <w:rPr>
          <w:rFonts w:hint="eastAsia" w:asciiTheme="minorEastAsia" w:hAnsiTheme="minorEastAsia"/>
          <w:b/>
          <w:bCs/>
          <w:color w:val="000000" w:themeColor="text1"/>
          <w:kern w:val="0"/>
          <w:szCs w:val="21"/>
          <w:highlight w:val="none"/>
          <w14:textFill>
            <w14:solidFill>
              <w14:schemeClr w14:val="tx1"/>
            </w14:solidFill>
          </w14:textFill>
        </w:rPr>
        <w:t>理财产品到期公告</w:t>
      </w:r>
    </w:p>
    <w:p>
      <w:pPr>
        <w:spacing w:line="380" w:lineRule="exact"/>
        <w:ind w:firstLine="420" w:firstLineChars="200"/>
        <w:rPr>
          <w:rFonts w:asciiTheme="minorEastAsia" w:hAnsiTheme="minorEastAsia"/>
          <w:color w:val="000000" w:themeColor="text1"/>
          <w:kern w:val="0"/>
          <w:szCs w:val="21"/>
          <w:highlight w:val="none"/>
          <w14:textFill>
            <w14:solidFill>
              <w14:schemeClr w14:val="tx1"/>
            </w14:solidFill>
          </w14:textFill>
        </w:rPr>
      </w:pPr>
      <w:bookmarkStart w:id="12" w:name="_Hlk111222312"/>
      <w:bookmarkStart w:id="13" w:name="_Hlk111222275"/>
      <w:r>
        <w:rPr>
          <w:rFonts w:hint="eastAsia" w:ascii="宋体" w:hAnsi="宋体" w:cs="宋体"/>
          <w:color w:val="000000"/>
          <w:szCs w:val="21"/>
          <w:highlight w:val="none"/>
          <w:lang w:bidi="ar"/>
        </w:rPr>
        <w:t>产品管理人将在理财产品终止后的5个工作日内通过本条第（一）款约定的信息披露渠道发布相关信息公告。产品到期</w:t>
      </w:r>
      <w:r>
        <w:rPr>
          <w:rFonts w:hint="eastAsia" w:asciiTheme="minorEastAsia" w:hAnsiTheme="minorEastAsia"/>
          <w:color w:val="000000" w:themeColor="text1"/>
          <w:kern w:val="0"/>
          <w:szCs w:val="21"/>
          <w:highlight w:val="none"/>
          <w14:textFill>
            <w14:solidFill>
              <w14:schemeClr w14:val="tx1"/>
            </w14:solidFill>
          </w14:textFill>
        </w:rPr>
        <w:t>公告的内容包括理财产品的存续期限、终止日期、收费情况和收益分配情况等信息</w:t>
      </w:r>
      <w:bookmarkEnd w:id="12"/>
      <w:r>
        <w:rPr>
          <w:rFonts w:hint="eastAsia" w:asciiTheme="minorEastAsia" w:hAnsiTheme="minorEastAsia"/>
          <w:color w:val="000000" w:themeColor="text1"/>
          <w:kern w:val="0"/>
          <w:szCs w:val="21"/>
          <w:highlight w:val="none"/>
          <w14:textFill>
            <w14:solidFill>
              <w14:schemeClr w14:val="tx1"/>
            </w14:solidFill>
          </w14:textFill>
        </w:rPr>
        <w:t>。</w:t>
      </w:r>
      <w:bookmarkEnd w:id="13"/>
    </w:p>
    <w:p>
      <w:pPr>
        <w:spacing w:line="380" w:lineRule="exact"/>
        <w:ind w:firstLine="422" w:firstLineChars="200"/>
        <w:rPr>
          <w:rFonts w:asciiTheme="minorEastAsia" w:hAnsiTheme="minorEastAsia"/>
          <w:b/>
          <w:bCs/>
          <w:color w:val="000000" w:themeColor="text1"/>
          <w:kern w:val="0"/>
          <w:szCs w:val="21"/>
          <w:highlight w:val="none"/>
          <w14:textFill>
            <w14:solidFill>
              <w14:schemeClr w14:val="tx1"/>
            </w14:solidFill>
          </w14:textFill>
        </w:rPr>
      </w:pPr>
      <w:r>
        <w:rPr>
          <w:rFonts w:asciiTheme="minorEastAsia" w:hAnsiTheme="minorEastAsia"/>
          <w:b/>
          <w:bCs/>
          <w:color w:val="000000" w:themeColor="text1"/>
          <w:kern w:val="0"/>
          <w:szCs w:val="21"/>
          <w:highlight w:val="none"/>
          <w14:textFill>
            <w14:solidFill>
              <w14:schemeClr w14:val="tx1"/>
            </w14:solidFill>
          </w14:textFill>
        </w:rPr>
        <w:t>5.</w:t>
      </w:r>
      <w:r>
        <w:rPr>
          <w:rFonts w:hint="eastAsia" w:asciiTheme="minorEastAsia" w:hAnsiTheme="minorEastAsia"/>
          <w:b/>
          <w:bCs/>
          <w:color w:val="000000" w:themeColor="text1"/>
          <w:kern w:val="0"/>
          <w:szCs w:val="21"/>
          <w:highlight w:val="none"/>
          <w14:textFill>
            <w14:solidFill>
              <w14:schemeClr w14:val="tx1"/>
            </w14:solidFill>
          </w14:textFill>
        </w:rPr>
        <w:t>如果产品管理人决定提前终止本理财产品，产品管理人将于实际终止日前</w:t>
      </w:r>
      <w:r>
        <w:rPr>
          <w:rFonts w:asciiTheme="minorEastAsia" w:hAnsiTheme="minorEastAsia"/>
          <w:b/>
          <w:bCs/>
          <w:color w:val="000000" w:themeColor="text1"/>
          <w:kern w:val="0"/>
          <w:szCs w:val="21"/>
          <w:highlight w:val="none"/>
          <w14:textFill>
            <w14:solidFill>
              <w14:schemeClr w14:val="tx1"/>
            </w14:solidFill>
          </w14:textFill>
        </w:rPr>
        <w:t>5</w:t>
      </w:r>
      <w:r>
        <w:rPr>
          <w:rFonts w:hint="eastAsia" w:asciiTheme="minorEastAsia" w:hAnsiTheme="minorEastAsia"/>
          <w:b/>
          <w:bCs/>
          <w:color w:val="000000" w:themeColor="text1"/>
          <w:kern w:val="0"/>
          <w:szCs w:val="21"/>
          <w:highlight w:val="none"/>
          <w14:textFill>
            <w14:solidFill>
              <w14:schemeClr w14:val="tx1"/>
            </w14:solidFill>
          </w14:textFill>
        </w:rPr>
        <w:t>个工作日通过本条第（一）款约定的信息披露渠道发布相关信息公告。</w:t>
      </w:r>
    </w:p>
    <w:p>
      <w:pPr>
        <w:spacing w:line="380" w:lineRule="exact"/>
        <w:ind w:firstLine="422" w:firstLineChars="200"/>
        <w:rPr>
          <w:rFonts w:asciiTheme="minorEastAsia" w:hAnsiTheme="minorEastAsia"/>
          <w:b/>
          <w:bCs/>
          <w:color w:val="000000" w:themeColor="text1"/>
          <w:kern w:val="0"/>
          <w:szCs w:val="21"/>
          <w:highlight w:val="none"/>
          <w14:textFill>
            <w14:solidFill>
              <w14:schemeClr w14:val="tx1"/>
            </w14:solidFill>
          </w14:textFill>
        </w:rPr>
      </w:pPr>
      <w:r>
        <w:rPr>
          <w:rFonts w:asciiTheme="minorEastAsia" w:hAnsiTheme="minorEastAsia"/>
          <w:b/>
          <w:bCs/>
          <w:color w:val="000000" w:themeColor="text1"/>
          <w:kern w:val="0"/>
          <w:szCs w:val="21"/>
          <w:highlight w:val="none"/>
          <w14:textFill>
            <w14:solidFill>
              <w14:schemeClr w14:val="tx1"/>
            </w14:solidFill>
          </w14:textFill>
        </w:rPr>
        <w:t>6.</w:t>
      </w:r>
      <w:r>
        <w:rPr>
          <w:rFonts w:hint="eastAsia" w:asciiTheme="minorEastAsia" w:hAnsiTheme="minorEastAsia"/>
          <w:b/>
          <w:bCs/>
          <w:color w:val="000000" w:themeColor="text1"/>
          <w:kern w:val="0"/>
          <w:szCs w:val="21"/>
          <w:highlight w:val="none"/>
          <w14:textFill>
            <w14:solidFill>
              <w14:schemeClr w14:val="tx1"/>
            </w14:solidFill>
          </w14:textFill>
        </w:rPr>
        <w:t>如果产品管理人决定延长理财期限，将于原到期日前</w:t>
      </w:r>
      <w:r>
        <w:rPr>
          <w:rFonts w:asciiTheme="minorEastAsia" w:hAnsiTheme="minorEastAsia"/>
          <w:b/>
          <w:bCs/>
          <w:color w:val="000000" w:themeColor="text1"/>
          <w:kern w:val="0"/>
          <w:szCs w:val="21"/>
          <w:highlight w:val="none"/>
          <w14:textFill>
            <w14:solidFill>
              <w14:schemeClr w14:val="tx1"/>
            </w14:solidFill>
          </w14:textFill>
        </w:rPr>
        <w:t>5</w:t>
      </w:r>
      <w:r>
        <w:rPr>
          <w:rFonts w:hint="eastAsia" w:asciiTheme="minorEastAsia" w:hAnsiTheme="minorEastAsia"/>
          <w:b/>
          <w:bCs/>
          <w:color w:val="000000" w:themeColor="text1"/>
          <w:kern w:val="0"/>
          <w:szCs w:val="21"/>
          <w:highlight w:val="none"/>
          <w14:textFill>
            <w14:solidFill>
              <w14:schemeClr w14:val="tx1"/>
            </w14:solidFill>
          </w14:textFill>
        </w:rPr>
        <w:t>个工作日，通过本条第（一）款约定的信息披露渠道发布相关信息公告。</w:t>
      </w:r>
    </w:p>
    <w:p>
      <w:pPr>
        <w:spacing w:line="380" w:lineRule="exact"/>
        <w:ind w:firstLine="420" w:firstLineChars="200"/>
        <w:rPr>
          <w:rFonts w:asciiTheme="minorEastAsia" w:hAnsiTheme="minorEastAsia"/>
          <w:b/>
          <w:bCs/>
          <w:color w:val="000000" w:themeColor="text1"/>
          <w:kern w:val="0"/>
          <w:szCs w:val="21"/>
          <w:highlight w:val="none"/>
          <w14:textFill>
            <w14:solidFill>
              <w14:schemeClr w14:val="tx1"/>
            </w14:solidFill>
          </w14:textFill>
        </w:rPr>
      </w:pPr>
      <w:r>
        <w:rPr>
          <w:rFonts w:hint="eastAsia" w:asciiTheme="minorEastAsia" w:hAnsiTheme="minorEastAsia"/>
          <w:color w:val="000000" w:themeColor="text1"/>
          <w:kern w:val="0"/>
          <w:szCs w:val="21"/>
          <w:highlight w:val="none"/>
          <w14:textFill>
            <w14:solidFill>
              <w14:schemeClr w14:val="tx1"/>
            </w14:solidFill>
          </w14:textFill>
        </w:rPr>
        <w:t>7</w:t>
      </w:r>
      <w:r>
        <w:rPr>
          <w:rFonts w:asciiTheme="minorEastAsia" w:hAnsiTheme="minorEastAsia"/>
          <w:color w:val="000000" w:themeColor="text1"/>
          <w:kern w:val="0"/>
          <w:szCs w:val="21"/>
          <w:highlight w:val="none"/>
          <w14:textFill>
            <w14:solidFill>
              <w14:schemeClr w14:val="tx1"/>
            </w14:solidFill>
          </w14:textFill>
        </w:rPr>
        <w:t>.</w:t>
      </w:r>
      <w:r>
        <w:rPr>
          <w:rFonts w:hint="eastAsia" w:ascii="宋体" w:hAnsi="宋体" w:cs="宋体"/>
          <w:bCs/>
          <w:color w:val="000000"/>
          <w:szCs w:val="21"/>
          <w:highlight w:val="none"/>
          <w:lang w:bidi="ar"/>
        </w:rPr>
        <w:t>关联交易信息披露：如本理财产品投资于产品管理人或托管机构，其主要股东、控股股东、实际控制人、一致行动人、最终受益人，其控股的机构或者与其有重大利害关系的公司发行或者承销的证券，或者从事其他重大关联交易的，产品管理人将及时</w:t>
      </w:r>
      <w:r>
        <w:rPr>
          <w:rFonts w:ascii="宋体" w:hAnsi="宋体" w:cs="宋体"/>
          <w:bCs/>
          <w:color w:val="000000"/>
          <w:szCs w:val="21"/>
          <w:highlight w:val="none"/>
          <w:lang w:bidi="ar"/>
        </w:rPr>
        <w:t>通过</w:t>
      </w:r>
      <w:r>
        <w:rPr>
          <w:rFonts w:hint="eastAsia" w:ascii="宋体" w:hAnsi="宋体" w:cs="宋体"/>
          <w:color w:val="000000"/>
          <w:szCs w:val="21"/>
          <w:highlight w:val="none"/>
          <w:lang w:bidi="ar"/>
        </w:rPr>
        <w:t>本条第（一）款约定的信息披露渠道发布相关信息公告</w:t>
      </w:r>
      <w:r>
        <w:rPr>
          <w:rFonts w:hint="eastAsia" w:ascii="宋体" w:hAnsi="宋体" w:cs="宋体"/>
          <w:bCs/>
          <w:color w:val="000000"/>
          <w:szCs w:val="21"/>
          <w:highlight w:val="none"/>
          <w:lang w:bidi="ar"/>
        </w:rPr>
        <w:t>。</w:t>
      </w:r>
    </w:p>
    <w:p>
      <w:pPr>
        <w:widowControl/>
        <w:spacing w:line="380" w:lineRule="atLeast"/>
        <w:ind w:firstLine="420"/>
        <w:rPr>
          <w:rFonts w:ascii="Calibri" w:hAnsi="Calibri" w:cs="Calibri"/>
          <w:color w:val="000000"/>
          <w:szCs w:val="21"/>
          <w:highlight w:val="none"/>
        </w:rPr>
      </w:pPr>
      <w:r>
        <w:rPr>
          <w:rFonts w:hint="eastAsia" w:asciiTheme="minorEastAsia" w:hAnsiTheme="minorEastAsia"/>
          <w:b/>
          <w:bCs/>
          <w:color w:val="000000" w:themeColor="text1"/>
          <w:kern w:val="0"/>
          <w:szCs w:val="21"/>
          <w:highlight w:val="none"/>
          <w14:textFill>
            <w14:solidFill>
              <w14:schemeClr w14:val="tx1"/>
            </w14:solidFill>
          </w14:textFill>
        </w:rPr>
        <w:t>特别提示，</w:t>
      </w:r>
      <w:r>
        <w:rPr>
          <w:rFonts w:hint="eastAsia" w:ascii="宋体" w:hAnsi="宋体" w:cs="宋体"/>
          <w:b/>
          <w:bCs/>
          <w:color w:val="000000"/>
          <w:szCs w:val="21"/>
          <w:highlight w:val="none"/>
          <w:lang w:bidi="ar"/>
        </w:rPr>
        <w:t>在本理财产品存续期内，如出于维持本理财产品正常运营的需要且在不损害投资者利益的前提下，或因国家法律法规、监管规定发生变化，产品管理人有权单方对本理财产品说明书进行修订。产品管理人决定对理财产品说明书进行修订的，将提前</w:t>
      </w:r>
      <w:r>
        <w:rPr>
          <w:rFonts w:ascii="宋体" w:hAnsi="宋体" w:cs="宋体"/>
          <w:b/>
          <w:bCs/>
          <w:color w:val="000000"/>
          <w:szCs w:val="21"/>
          <w:highlight w:val="none"/>
          <w:lang w:bidi="ar"/>
        </w:rPr>
        <w:t>2</w:t>
      </w:r>
      <w:r>
        <w:rPr>
          <w:rFonts w:hint="eastAsia" w:ascii="宋体" w:hAnsi="宋体" w:cs="宋体"/>
          <w:b/>
          <w:bCs/>
          <w:color w:val="000000"/>
          <w:szCs w:val="21"/>
          <w:highlight w:val="none"/>
          <w:lang w:bidi="ar"/>
        </w:rPr>
        <w:t>个工作日通过</w:t>
      </w:r>
      <w:r>
        <w:rPr>
          <w:rFonts w:hint="eastAsia" w:asciiTheme="minorEastAsia" w:hAnsiTheme="minorEastAsia"/>
          <w:b/>
          <w:bCs/>
          <w:color w:val="000000" w:themeColor="text1"/>
          <w:kern w:val="0"/>
          <w:szCs w:val="21"/>
          <w:highlight w:val="none"/>
          <w14:textFill>
            <w14:solidFill>
              <w14:schemeClr w14:val="tx1"/>
            </w14:solidFill>
          </w14:textFill>
        </w:rPr>
        <w:t>本条第（一）款约定的信息披露</w:t>
      </w:r>
      <w:r>
        <w:rPr>
          <w:rFonts w:hint="eastAsia" w:ascii="宋体" w:hAnsi="宋体" w:cs="宋体"/>
          <w:b/>
          <w:bCs/>
          <w:color w:val="000000"/>
          <w:szCs w:val="21"/>
          <w:highlight w:val="none"/>
          <w:lang w:bidi="ar"/>
        </w:rPr>
        <w:t>渠道发布相关信息公告通知投资者。修订后的理财产品说明书对投资者具有法律约束力。若本理财产品的投资者不接受上述修订，则应在产品管理人披露的相关调整生效前及时通过各代理销售机构渠道赎回本产品</w:t>
      </w:r>
      <w:r>
        <w:rPr>
          <w:rFonts w:hint="eastAsia" w:asciiTheme="minorEastAsia" w:hAnsiTheme="minorEastAsia"/>
          <w:b/>
          <w:bCs/>
          <w:color w:val="000000" w:themeColor="text1"/>
          <w:kern w:val="0"/>
          <w:szCs w:val="21"/>
          <w:highlight w:val="none"/>
          <w14:textFill>
            <w14:solidFill>
              <w14:schemeClr w14:val="tx1"/>
            </w14:solidFill>
          </w14:textFill>
        </w:rPr>
        <w:t>（此种情况下产品管理人将可能在赎回开放日外单独开放特殊赎回期间，具体以届时公告为准）</w:t>
      </w:r>
      <w:r>
        <w:rPr>
          <w:rFonts w:hint="eastAsia" w:ascii="宋体" w:hAnsi="宋体" w:cs="宋体"/>
          <w:b/>
          <w:bCs/>
          <w:color w:val="000000"/>
          <w:szCs w:val="21"/>
          <w:highlight w:val="none"/>
          <w:lang w:bidi="ar"/>
        </w:rPr>
        <w:t>；若本理财产品投资者逾期未赎回本产品，则视为本理财产品投资者对相关修订无异议并继续持有本理财产品。</w:t>
      </w:r>
    </w:p>
    <w:p>
      <w:pPr>
        <w:widowControl/>
        <w:spacing w:line="380" w:lineRule="atLeast"/>
        <w:ind w:firstLine="420"/>
        <w:rPr>
          <w:rFonts w:ascii="Calibri" w:hAnsi="Calibri" w:cs="Calibri"/>
          <w:color w:val="000000"/>
          <w:szCs w:val="21"/>
          <w:highlight w:val="none"/>
        </w:rPr>
      </w:pPr>
      <w:r>
        <w:rPr>
          <w:rFonts w:hint="eastAsia" w:ascii="宋体" w:hAnsi="宋体" w:cs="宋体"/>
          <w:color w:val="000000"/>
          <w:szCs w:val="21"/>
          <w:highlight w:val="none"/>
          <w:lang w:bidi="ar"/>
        </w:rPr>
        <w:t> </w:t>
      </w:r>
    </w:p>
    <w:p>
      <w:pPr>
        <w:widowControl/>
        <w:spacing w:line="380" w:lineRule="atLeast"/>
        <w:ind w:firstLine="422"/>
        <w:rPr>
          <w:rFonts w:ascii="Calibri" w:hAnsi="Calibri" w:cs="Calibri"/>
          <w:color w:val="000000"/>
          <w:szCs w:val="21"/>
          <w:highlight w:val="none"/>
        </w:rPr>
      </w:pPr>
      <w:r>
        <w:rPr>
          <w:rFonts w:hint="eastAsia" w:ascii="宋体" w:hAnsi="宋体" w:cs="宋体"/>
          <w:b/>
          <w:color w:val="000000"/>
          <w:szCs w:val="21"/>
          <w:highlight w:val="none"/>
          <w:lang w:bidi="ar"/>
        </w:rPr>
        <w:t>其他事项说明：</w:t>
      </w:r>
    </w:p>
    <w:p>
      <w:pPr>
        <w:widowControl/>
        <w:spacing w:line="380" w:lineRule="atLeast"/>
        <w:ind w:firstLine="420"/>
        <w:rPr>
          <w:rFonts w:ascii="Calibri" w:hAnsi="Calibri" w:cs="Calibri"/>
          <w:color w:val="000000"/>
          <w:szCs w:val="21"/>
          <w:highlight w:val="none"/>
        </w:rPr>
      </w:pPr>
      <w:r>
        <w:rPr>
          <w:rFonts w:hint="eastAsia" w:ascii="宋体" w:hAnsi="宋体" w:cs="宋体"/>
          <w:b/>
          <w:color w:val="000000"/>
          <w:szCs w:val="21"/>
          <w:highlight w:val="none"/>
          <w:lang w:bidi="ar"/>
        </w:rPr>
        <w:t>1.本理财产品中示例均采用假设数据，并不代表投资者实际可获得的收益。</w:t>
      </w:r>
    </w:p>
    <w:p>
      <w:pPr>
        <w:widowControl/>
        <w:spacing w:line="380" w:lineRule="atLeast"/>
        <w:ind w:firstLine="420"/>
        <w:rPr>
          <w:rFonts w:ascii="Calibri" w:hAnsi="Calibri" w:cs="Calibri"/>
          <w:color w:val="000000"/>
          <w:szCs w:val="21"/>
          <w:highlight w:val="none"/>
        </w:rPr>
      </w:pPr>
      <w:r>
        <w:rPr>
          <w:rFonts w:hint="eastAsia" w:ascii="宋体" w:hAnsi="宋体" w:cs="宋体"/>
          <w:b/>
          <w:color w:val="000000"/>
          <w:szCs w:val="21"/>
          <w:highlight w:val="none"/>
          <w:lang w:bidi="ar"/>
        </w:rPr>
        <w:t>2.受理时间、信息公布的相关时间以产品管理人业务处理系统记录的北京时间为准。</w:t>
      </w:r>
    </w:p>
    <w:p>
      <w:pPr>
        <w:widowControl/>
        <w:spacing w:line="380" w:lineRule="atLeast"/>
        <w:ind w:firstLine="420"/>
        <w:rPr>
          <w:rFonts w:ascii="宋体" w:hAnsi="宋体" w:cs="宋体"/>
          <w:b/>
          <w:color w:val="000000"/>
          <w:szCs w:val="21"/>
          <w:highlight w:val="none"/>
          <w:lang w:bidi="ar"/>
        </w:rPr>
      </w:pPr>
      <w:r>
        <w:rPr>
          <w:rFonts w:hint="eastAsia" w:ascii="宋体" w:hAnsi="宋体" w:cs="宋体"/>
          <w:b/>
          <w:color w:val="000000"/>
          <w:szCs w:val="21"/>
          <w:highlight w:val="none"/>
          <w:lang w:bidi="ar"/>
        </w:rPr>
        <w:t>3.本理财产品的资产独立于产品管理人和产品托管人的财产，并由产品托管人保管。</w:t>
      </w:r>
    </w:p>
    <w:p>
      <w:pPr>
        <w:widowControl/>
        <w:spacing w:line="380" w:lineRule="atLeast"/>
        <w:ind w:firstLine="420"/>
        <w:rPr>
          <w:rFonts w:ascii="宋体" w:hAnsi="宋体" w:cs="宋体"/>
          <w:b/>
          <w:color w:val="000000"/>
          <w:szCs w:val="21"/>
          <w:highlight w:val="none"/>
          <w:lang w:bidi="ar"/>
        </w:rPr>
      </w:pPr>
      <w:r>
        <w:rPr>
          <w:rFonts w:hint="eastAsia" w:ascii="宋体" w:hAnsi="宋体" w:cs="宋体"/>
          <w:b/>
          <w:color w:val="000000"/>
          <w:szCs w:val="21"/>
          <w:highlight w:val="none"/>
          <w:lang w:bidi="ar"/>
        </w:rPr>
        <w:t>4.产品管理人和产品托管人以其自有的财产承担其自身的法律责任，其债权人不得对本产品财产行使请求冻结、扣押或其他权利。除依法律法规规定的处分外，理财产品的资产不得被处分</w:t>
      </w:r>
    </w:p>
    <w:p>
      <w:pPr>
        <w:widowControl/>
        <w:spacing w:line="380" w:lineRule="atLeast"/>
        <w:ind w:firstLine="420"/>
        <w:rPr>
          <w:rFonts w:ascii="宋体" w:hAnsi="宋体" w:cs="宋体"/>
          <w:b/>
          <w:color w:val="000000"/>
          <w:szCs w:val="21"/>
          <w:highlight w:val="none"/>
          <w:lang w:bidi="ar"/>
        </w:rPr>
      </w:pPr>
      <w:r>
        <w:rPr>
          <w:rFonts w:hint="eastAsia" w:ascii="宋体" w:hAnsi="宋体" w:cs="宋体"/>
          <w:b/>
          <w:color w:val="000000"/>
          <w:szCs w:val="21"/>
          <w:highlight w:val="none"/>
          <w:lang w:bidi="ar"/>
        </w:rPr>
        <w:t>5.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rPr>
          <w:highlight w:val="none"/>
        </w:rPr>
      </w:pPr>
    </w:p>
    <w:p>
      <w:pPr>
        <w:pStyle w:val="4"/>
        <w:rPr>
          <w:highlight w:val="none"/>
        </w:rPr>
      </w:pPr>
    </w:p>
    <w:p>
      <w:pPr>
        <w:rPr>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swiss"/>
    <w:pitch w:val="default"/>
    <w:sig w:usb0="80000287" w:usb1="2ACF3C50" w:usb2="00000016" w:usb3="00000000" w:csb0="0004001F"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84875494"/>
    </w:sdtPr>
    <w:sdtContent>
      <w:p>
        <w:pPr>
          <w:pStyle w:val="5"/>
          <w:jc w:val="center"/>
        </w:pPr>
        <w:r>
          <w:fldChar w:fldCharType="begin"/>
        </w:r>
        <w:r>
          <w:instrText xml:space="preserve">PAGE   \* MERGEFORMAT</w:instrText>
        </w:r>
        <w:r>
          <w:fldChar w:fldCharType="separate"/>
        </w:r>
        <w:r>
          <w:rPr>
            <w:lang w:val="zh-CN"/>
          </w:rPr>
          <w:t>2</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hideGrammatical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AD6"/>
    <w:rsid w:val="000064EC"/>
    <w:rsid w:val="0001282E"/>
    <w:rsid w:val="000237D3"/>
    <w:rsid w:val="00025358"/>
    <w:rsid w:val="000335CE"/>
    <w:rsid w:val="000417A3"/>
    <w:rsid w:val="00042E13"/>
    <w:rsid w:val="00043B02"/>
    <w:rsid w:val="000445C8"/>
    <w:rsid w:val="0004546A"/>
    <w:rsid w:val="000454E8"/>
    <w:rsid w:val="00052680"/>
    <w:rsid w:val="00052737"/>
    <w:rsid w:val="000534E7"/>
    <w:rsid w:val="00066B0A"/>
    <w:rsid w:val="00066B84"/>
    <w:rsid w:val="0007414D"/>
    <w:rsid w:val="00081647"/>
    <w:rsid w:val="00081CB9"/>
    <w:rsid w:val="00091841"/>
    <w:rsid w:val="00093765"/>
    <w:rsid w:val="000945C0"/>
    <w:rsid w:val="0009549F"/>
    <w:rsid w:val="000A31FB"/>
    <w:rsid w:val="000A37C7"/>
    <w:rsid w:val="000A6B2C"/>
    <w:rsid w:val="000B0BD6"/>
    <w:rsid w:val="000B1FCE"/>
    <w:rsid w:val="000C0685"/>
    <w:rsid w:val="000C3F9A"/>
    <w:rsid w:val="000D5574"/>
    <w:rsid w:val="000E0147"/>
    <w:rsid w:val="000E0FC2"/>
    <w:rsid w:val="000F0FC4"/>
    <w:rsid w:val="000F219B"/>
    <w:rsid w:val="000F2D36"/>
    <w:rsid w:val="000F4E23"/>
    <w:rsid w:val="00105E5D"/>
    <w:rsid w:val="00113504"/>
    <w:rsid w:val="00117935"/>
    <w:rsid w:val="00120833"/>
    <w:rsid w:val="001303BF"/>
    <w:rsid w:val="0015491B"/>
    <w:rsid w:val="0015635E"/>
    <w:rsid w:val="00156983"/>
    <w:rsid w:val="0016439F"/>
    <w:rsid w:val="00171B31"/>
    <w:rsid w:val="00176FBD"/>
    <w:rsid w:val="001804F5"/>
    <w:rsid w:val="00182171"/>
    <w:rsid w:val="00187801"/>
    <w:rsid w:val="00192FED"/>
    <w:rsid w:val="001A759E"/>
    <w:rsid w:val="001A7611"/>
    <w:rsid w:val="001A7933"/>
    <w:rsid w:val="001B20AA"/>
    <w:rsid w:val="001C693E"/>
    <w:rsid w:val="001C7182"/>
    <w:rsid w:val="001D0BFB"/>
    <w:rsid w:val="001D5A37"/>
    <w:rsid w:val="001F09A9"/>
    <w:rsid w:val="001F4183"/>
    <w:rsid w:val="001F4D59"/>
    <w:rsid w:val="00201701"/>
    <w:rsid w:val="002031E1"/>
    <w:rsid w:val="002053AC"/>
    <w:rsid w:val="0021049B"/>
    <w:rsid w:val="002159C9"/>
    <w:rsid w:val="002202C2"/>
    <w:rsid w:val="00225F2A"/>
    <w:rsid w:val="00245D6A"/>
    <w:rsid w:val="00265349"/>
    <w:rsid w:val="0027097E"/>
    <w:rsid w:val="00283F7B"/>
    <w:rsid w:val="0029661A"/>
    <w:rsid w:val="002A43B5"/>
    <w:rsid w:val="002A77CA"/>
    <w:rsid w:val="002A7B76"/>
    <w:rsid w:val="002A7EFF"/>
    <w:rsid w:val="002B5F1E"/>
    <w:rsid w:val="002C223B"/>
    <w:rsid w:val="002C38E2"/>
    <w:rsid w:val="002C3B28"/>
    <w:rsid w:val="002C5886"/>
    <w:rsid w:val="002C641B"/>
    <w:rsid w:val="002D33B0"/>
    <w:rsid w:val="002D7BE4"/>
    <w:rsid w:val="002D7CA5"/>
    <w:rsid w:val="002E5425"/>
    <w:rsid w:val="002E6429"/>
    <w:rsid w:val="002F15CA"/>
    <w:rsid w:val="0030202E"/>
    <w:rsid w:val="003022F0"/>
    <w:rsid w:val="00303F34"/>
    <w:rsid w:val="003043C9"/>
    <w:rsid w:val="00310178"/>
    <w:rsid w:val="00312429"/>
    <w:rsid w:val="00312627"/>
    <w:rsid w:val="003263B0"/>
    <w:rsid w:val="00330711"/>
    <w:rsid w:val="003308B7"/>
    <w:rsid w:val="00331227"/>
    <w:rsid w:val="00335045"/>
    <w:rsid w:val="003400C0"/>
    <w:rsid w:val="00344B15"/>
    <w:rsid w:val="003457CA"/>
    <w:rsid w:val="003463DE"/>
    <w:rsid w:val="00350990"/>
    <w:rsid w:val="00355768"/>
    <w:rsid w:val="00355BAB"/>
    <w:rsid w:val="0036350A"/>
    <w:rsid w:val="0037319D"/>
    <w:rsid w:val="003747B6"/>
    <w:rsid w:val="00381528"/>
    <w:rsid w:val="00397B1E"/>
    <w:rsid w:val="003B0E81"/>
    <w:rsid w:val="003B25F0"/>
    <w:rsid w:val="003B5236"/>
    <w:rsid w:val="003C0A02"/>
    <w:rsid w:val="003C13F7"/>
    <w:rsid w:val="003C6BCF"/>
    <w:rsid w:val="003E1D0F"/>
    <w:rsid w:val="003E7B77"/>
    <w:rsid w:val="003F029A"/>
    <w:rsid w:val="003F29FA"/>
    <w:rsid w:val="003F43B2"/>
    <w:rsid w:val="003F7691"/>
    <w:rsid w:val="004054ED"/>
    <w:rsid w:val="00406F94"/>
    <w:rsid w:val="004150AF"/>
    <w:rsid w:val="004233AF"/>
    <w:rsid w:val="00427FF1"/>
    <w:rsid w:val="00436EEE"/>
    <w:rsid w:val="004416DC"/>
    <w:rsid w:val="00441BA6"/>
    <w:rsid w:val="004451F9"/>
    <w:rsid w:val="00446369"/>
    <w:rsid w:val="00451188"/>
    <w:rsid w:val="004556F7"/>
    <w:rsid w:val="00456D53"/>
    <w:rsid w:val="00464009"/>
    <w:rsid w:val="00464046"/>
    <w:rsid w:val="00481D83"/>
    <w:rsid w:val="00486366"/>
    <w:rsid w:val="00486ACF"/>
    <w:rsid w:val="00487084"/>
    <w:rsid w:val="004A4DFC"/>
    <w:rsid w:val="004A6A3C"/>
    <w:rsid w:val="004D474B"/>
    <w:rsid w:val="004E09F7"/>
    <w:rsid w:val="004E7A2A"/>
    <w:rsid w:val="0053136F"/>
    <w:rsid w:val="0053214B"/>
    <w:rsid w:val="0053249D"/>
    <w:rsid w:val="0053548C"/>
    <w:rsid w:val="00543B32"/>
    <w:rsid w:val="005664FD"/>
    <w:rsid w:val="005665C0"/>
    <w:rsid w:val="00574E00"/>
    <w:rsid w:val="00592FB6"/>
    <w:rsid w:val="00594526"/>
    <w:rsid w:val="005956D5"/>
    <w:rsid w:val="00596777"/>
    <w:rsid w:val="005A1AFB"/>
    <w:rsid w:val="005A5D9D"/>
    <w:rsid w:val="005B18B8"/>
    <w:rsid w:val="005B2D72"/>
    <w:rsid w:val="005B3E1B"/>
    <w:rsid w:val="005B6D08"/>
    <w:rsid w:val="005C7F16"/>
    <w:rsid w:val="005D13CC"/>
    <w:rsid w:val="005E3EA3"/>
    <w:rsid w:val="005E5537"/>
    <w:rsid w:val="005F065C"/>
    <w:rsid w:val="005F49E4"/>
    <w:rsid w:val="005F5F94"/>
    <w:rsid w:val="006026B5"/>
    <w:rsid w:val="00616CB3"/>
    <w:rsid w:val="00625DED"/>
    <w:rsid w:val="0062654A"/>
    <w:rsid w:val="00630831"/>
    <w:rsid w:val="00635BA8"/>
    <w:rsid w:val="006423E4"/>
    <w:rsid w:val="00647A37"/>
    <w:rsid w:val="00670AF8"/>
    <w:rsid w:val="0067612E"/>
    <w:rsid w:val="006774A0"/>
    <w:rsid w:val="006853F5"/>
    <w:rsid w:val="00687739"/>
    <w:rsid w:val="006A2FFD"/>
    <w:rsid w:val="006A3F7F"/>
    <w:rsid w:val="006B0F20"/>
    <w:rsid w:val="006D2917"/>
    <w:rsid w:val="006D6808"/>
    <w:rsid w:val="006E6815"/>
    <w:rsid w:val="006F3AEC"/>
    <w:rsid w:val="006F6D81"/>
    <w:rsid w:val="00712485"/>
    <w:rsid w:val="0072058C"/>
    <w:rsid w:val="00727FC9"/>
    <w:rsid w:val="00741183"/>
    <w:rsid w:val="00743DA8"/>
    <w:rsid w:val="007450BE"/>
    <w:rsid w:val="00746FE5"/>
    <w:rsid w:val="007519C5"/>
    <w:rsid w:val="00753231"/>
    <w:rsid w:val="007621B6"/>
    <w:rsid w:val="00762F9A"/>
    <w:rsid w:val="00763369"/>
    <w:rsid w:val="00764EA4"/>
    <w:rsid w:val="007702CD"/>
    <w:rsid w:val="00774D6D"/>
    <w:rsid w:val="00774D99"/>
    <w:rsid w:val="007816C3"/>
    <w:rsid w:val="00783719"/>
    <w:rsid w:val="00786D3F"/>
    <w:rsid w:val="007A281F"/>
    <w:rsid w:val="007A5B09"/>
    <w:rsid w:val="007B2891"/>
    <w:rsid w:val="007C3B69"/>
    <w:rsid w:val="007C7254"/>
    <w:rsid w:val="007C7DC4"/>
    <w:rsid w:val="007D4F74"/>
    <w:rsid w:val="007E1EE4"/>
    <w:rsid w:val="007E3F8F"/>
    <w:rsid w:val="007F5B34"/>
    <w:rsid w:val="00801353"/>
    <w:rsid w:val="00812E64"/>
    <w:rsid w:val="0081387E"/>
    <w:rsid w:val="00815F48"/>
    <w:rsid w:val="00824AA4"/>
    <w:rsid w:val="00832520"/>
    <w:rsid w:val="0084437A"/>
    <w:rsid w:val="00866FC6"/>
    <w:rsid w:val="0087289B"/>
    <w:rsid w:val="0088417A"/>
    <w:rsid w:val="00895FEA"/>
    <w:rsid w:val="00897CE9"/>
    <w:rsid w:val="008B661F"/>
    <w:rsid w:val="008B7CE7"/>
    <w:rsid w:val="008C1257"/>
    <w:rsid w:val="008C2E55"/>
    <w:rsid w:val="008C43BB"/>
    <w:rsid w:val="008D368C"/>
    <w:rsid w:val="008E7D1A"/>
    <w:rsid w:val="008F02C2"/>
    <w:rsid w:val="008F0AC1"/>
    <w:rsid w:val="008F4C7E"/>
    <w:rsid w:val="00903E7D"/>
    <w:rsid w:val="00911AED"/>
    <w:rsid w:val="009216A1"/>
    <w:rsid w:val="00921C79"/>
    <w:rsid w:val="00924CF6"/>
    <w:rsid w:val="00930110"/>
    <w:rsid w:val="0094610C"/>
    <w:rsid w:val="0095288C"/>
    <w:rsid w:val="00953930"/>
    <w:rsid w:val="00963498"/>
    <w:rsid w:val="0096518A"/>
    <w:rsid w:val="00967293"/>
    <w:rsid w:val="00975D62"/>
    <w:rsid w:val="00976CF4"/>
    <w:rsid w:val="009901EF"/>
    <w:rsid w:val="00992F41"/>
    <w:rsid w:val="009B033E"/>
    <w:rsid w:val="009B11A9"/>
    <w:rsid w:val="009B3DD1"/>
    <w:rsid w:val="009C5922"/>
    <w:rsid w:val="009D2A67"/>
    <w:rsid w:val="009E7472"/>
    <w:rsid w:val="009F26F6"/>
    <w:rsid w:val="00A125A6"/>
    <w:rsid w:val="00A12C09"/>
    <w:rsid w:val="00A22B57"/>
    <w:rsid w:val="00A23E45"/>
    <w:rsid w:val="00A30339"/>
    <w:rsid w:val="00A30D55"/>
    <w:rsid w:val="00A32EF9"/>
    <w:rsid w:val="00A346AE"/>
    <w:rsid w:val="00A53F8C"/>
    <w:rsid w:val="00A601FF"/>
    <w:rsid w:val="00A63DE0"/>
    <w:rsid w:val="00A73D28"/>
    <w:rsid w:val="00A97CE9"/>
    <w:rsid w:val="00AC064B"/>
    <w:rsid w:val="00AC2A79"/>
    <w:rsid w:val="00AC2EEB"/>
    <w:rsid w:val="00AC6D93"/>
    <w:rsid w:val="00AC776A"/>
    <w:rsid w:val="00AD55A9"/>
    <w:rsid w:val="00AD5BA2"/>
    <w:rsid w:val="00AD6974"/>
    <w:rsid w:val="00AE3D6F"/>
    <w:rsid w:val="00AF09B2"/>
    <w:rsid w:val="00AF1B25"/>
    <w:rsid w:val="00AF6869"/>
    <w:rsid w:val="00B05D89"/>
    <w:rsid w:val="00B12892"/>
    <w:rsid w:val="00B3154B"/>
    <w:rsid w:val="00B31F12"/>
    <w:rsid w:val="00B37DC8"/>
    <w:rsid w:val="00B37F71"/>
    <w:rsid w:val="00B47432"/>
    <w:rsid w:val="00B47730"/>
    <w:rsid w:val="00B53B1D"/>
    <w:rsid w:val="00B543DE"/>
    <w:rsid w:val="00B60B48"/>
    <w:rsid w:val="00B82E3F"/>
    <w:rsid w:val="00B8337A"/>
    <w:rsid w:val="00B83F87"/>
    <w:rsid w:val="00B90C47"/>
    <w:rsid w:val="00BC2D38"/>
    <w:rsid w:val="00BC6B4C"/>
    <w:rsid w:val="00BD266E"/>
    <w:rsid w:val="00BD47B2"/>
    <w:rsid w:val="00BE5EEA"/>
    <w:rsid w:val="00C0452C"/>
    <w:rsid w:val="00C04CB9"/>
    <w:rsid w:val="00C2211D"/>
    <w:rsid w:val="00C251B7"/>
    <w:rsid w:val="00C258C9"/>
    <w:rsid w:val="00C27657"/>
    <w:rsid w:val="00C30DCA"/>
    <w:rsid w:val="00C3429E"/>
    <w:rsid w:val="00C36FE5"/>
    <w:rsid w:val="00C40B76"/>
    <w:rsid w:val="00C45DD3"/>
    <w:rsid w:val="00C51C9B"/>
    <w:rsid w:val="00C53133"/>
    <w:rsid w:val="00C54072"/>
    <w:rsid w:val="00C576B2"/>
    <w:rsid w:val="00C602E5"/>
    <w:rsid w:val="00C64E47"/>
    <w:rsid w:val="00C6537C"/>
    <w:rsid w:val="00C6616F"/>
    <w:rsid w:val="00C709B6"/>
    <w:rsid w:val="00C75381"/>
    <w:rsid w:val="00C771F8"/>
    <w:rsid w:val="00C831A4"/>
    <w:rsid w:val="00C93A7A"/>
    <w:rsid w:val="00C97120"/>
    <w:rsid w:val="00CA7674"/>
    <w:rsid w:val="00CB0EAB"/>
    <w:rsid w:val="00CB5C35"/>
    <w:rsid w:val="00CC0448"/>
    <w:rsid w:val="00CC1823"/>
    <w:rsid w:val="00CD1756"/>
    <w:rsid w:val="00CE1EFE"/>
    <w:rsid w:val="00CE6F4E"/>
    <w:rsid w:val="00CF000B"/>
    <w:rsid w:val="00D00615"/>
    <w:rsid w:val="00D00D05"/>
    <w:rsid w:val="00D030FE"/>
    <w:rsid w:val="00D11982"/>
    <w:rsid w:val="00D1387E"/>
    <w:rsid w:val="00D203F5"/>
    <w:rsid w:val="00D2073D"/>
    <w:rsid w:val="00D26085"/>
    <w:rsid w:val="00D45809"/>
    <w:rsid w:val="00D45EDE"/>
    <w:rsid w:val="00D61FC6"/>
    <w:rsid w:val="00D92234"/>
    <w:rsid w:val="00D9647D"/>
    <w:rsid w:val="00DA51BF"/>
    <w:rsid w:val="00DB29EA"/>
    <w:rsid w:val="00DB5B33"/>
    <w:rsid w:val="00DC4D5A"/>
    <w:rsid w:val="00DC64D2"/>
    <w:rsid w:val="00DD01BD"/>
    <w:rsid w:val="00DD73FB"/>
    <w:rsid w:val="00DE22FE"/>
    <w:rsid w:val="00DE5BB0"/>
    <w:rsid w:val="00DF4222"/>
    <w:rsid w:val="00DF744A"/>
    <w:rsid w:val="00E03165"/>
    <w:rsid w:val="00E13A99"/>
    <w:rsid w:val="00E15FD3"/>
    <w:rsid w:val="00E20650"/>
    <w:rsid w:val="00E45A2E"/>
    <w:rsid w:val="00E52666"/>
    <w:rsid w:val="00E56099"/>
    <w:rsid w:val="00E671E4"/>
    <w:rsid w:val="00E81D64"/>
    <w:rsid w:val="00E83C67"/>
    <w:rsid w:val="00E84172"/>
    <w:rsid w:val="00E84982"/>
    <w:rsid w:val="00E87B77"/>
    <w:rsid w:val="00E9249A"/>
    <w:rsid w:val="00E93D8B"/>
    <w:rsid w:val="00E96C13"/>
    <w:rsid w:val="00E9752C"/>
    <w:rsid w:val="00EA0F7D"/>
    <w:rsid w:val="00EA2CC4"/>
    <w:rsid w:val="00EA40CD"/>
    <w:rsid w:val="00EB27B2"/>
    <w:rsid w:val="00EB47A2"/>
    <w:rsid w:val="00ED33A3"/>
    <w:rsid w:val="00ED34B6"/>
    <w:rsid w:val="00ED5148"/>
    <w:rsid w:val="00ED7BE3"/>
    <w:rsid w:val="00EE0730"/>
    <w:rsid w:val="00F075FB"/>
    <w:rsid w:val="00F15C43"/>
    <w:rsid w:val="00F16CCF"/>
    <w:rsid w:val="00F17325"/>
    <w:rsid w:val="00F21015"/>
    <w:rsid w:val="00F26940"/>
    <w:rsid w:val="00F30BA6"/>
    <w:rsid w:val="00F456FC"/>
    <w:rsid w:val="00F5127D"/>
    <w:rsid w:val="00F52444"/>
    <w:rsid w:val="00F53E21"/>
    <w:rsid w:val="00F55AD6"/>
    <w:rsid w:val="00F71F79"/>
    <w:rsid w:val="00F805EA"/>
    <w:rsid w:val="00F96304"/>
    <w:rsid w:val="00FC0893"/>
    <w:rsid w:val="00FD15D4"/>
    <w:rsid w:val="00FD5512"/>
    <w:rsid w:val="00FF2318"/>
    <w:rsid w:val="01DC5134"/>
    <w:rsid w:val="02BD537E"/>
    <w:rsid w:val="030C2E71"/>
    <w:rsid w:val="05041DD7"/>
    <w:rsid w:val="05391BC7"/>
    <w:rsid w:val="05DA3A9D"/>
    <w:rsid w:val="0A14677B"/>
    <w:rsid w:val="0A3C4AB0"/>
    <w:rsid w:val="0AA77325"/>
    <w:rsid w:val="0C7778D7"/>
    <w:rsid w:val="0CEE212A"/>
    <w:rsid w:val="0D595511"/>
    <w:rsid w:val="0D996769"/>
    <w:rsid w:val="0DA10224"/>
    <w:rsid w:val="0F200DDA"/>
    <w:rsid w:val="10093FE0"/>
    <w:rsid w:val="1158116F"/>
    <w:rsid w:val="141B6BC8"/>
    <w:rsid w:val="144472FD"/>
    <w:rsid w:val="145933FE"/>
    <w:rsid w:val="16B576CD"/>
    <w:rsid w:val="172B17E3"/>
    <w:rsid w:val="1B6F1CD1"/>
    <w:rsid w:val="1B9F4B1E"/>
    <w:rsid w:val="1BDC36D8"/>
    <w:rsid w:val="1C164CE5"/>
    <w:rsid w:val="1D807D7A"/>
    <w:rsid w:val="1E341794"/>
    <w:rsid w:val="1EB515A7"/>
    <w:rsid w:val="1EF41280"/>
    <w:rsid w:val="1FB94C09"/>
    <w:rsid w:val="206411F6"/>
    <w:rsid w:val="217C473D"/>
    <w:rsid w:val="21B97426"/>
    <w:rsid w:val="227E7A06"/>
    <w:rsid w:val="24157196"/>
    <w:rsid w:val="24557EC6"/>
    <w:rsid w:val="256245BE"/>
    <w:rsid w:val="26062905"/>
    <w:rsid w:val="267C194F"/>
    <w:rsid w:val="270A5205"/>
    <w:rsid w:val="284F5E03"/>
    <w:rsid w:val="296C73F9"/>
    <w:rsid w:val="29B978DD"/>
    <w:rsid w:val="2B347471"/>
    <w:rsid w:val="2F226DFA"/>
    <w:rsid w:val="2FA20CF5"/>
    <w:rsid w:val="30152687"/>
    <w:rsid w:val="31204932"/>
    <w:rsid w:val="325432C1"/>
    <w:rsid w:val="34E74E00"/>
    <w:rsid w:val="3549138C"/>
    <w:rsid w:val="358D635A"/>
    <w:rsid w:val="35C34603"/>
    <w:rsid w:val="3640627F"/>
    <w:rsid w:val="365A2EEA"/>
    <w:rsid w:val="378722DB"/>
    <w:rsid w:val="38B323D5"/>
    <w:rsid w:val="38C27E26"/>
    <w:rsid w:val="38DC293A"/>
    <w:rsid w:val="3B944B56"/>
    <w:rsid w:val="3BEA2093"/>
    <w:rsid w:val="3C9F1412"/>
    <w:rsid w:val="3EBD2D69"/>
    <w:rsid w:val="3F393D76"/>
    <w:rsid w:val="3F3F6F12"/>
    <w:rsid w:val="3FD95483"/>
    <w:rsid w:val="408C7E9B"/>
    <w:rsid w:val="409C00B4"/>
    <w:rsid w:val="41CE57A7"/>
    <w:rsid w:val="43454BD3"/>
    <w:rsid w:val="442E2E44"/>
    <w:rsid w:val="456927C6"/>
    <w:rsid w:val="45B4567C"/>
    <w:rsid w:val="482A01C2"/>
    <w:rsid w:val="49C81C83"/>
    <w:rsid w:val="4B006D58"/>
    <w:rsid w:val="4B570A6A"/>
    <w:rsid w:val="4C452559"/>
    <w:rsid w:val="4C5C54BC"/>
    <w:rsid w:val="4D136EA8"/>
    <w:rsid w:val="4E32366E"/>
    <w:rsid w:val="4F0A2DF8"/>
    <w:rsid w:val="4F202C39"/>
    <w:rsid w:val="4FAB4E22"/>
    <w:rsid w:val="502F6157"/>
    <w:rsid w:val="504D6572"/>
    <w:rsid w:val="50B0267F"/>
    <w:rsid w:val="51C749D1"/>
    <w:rsid w:val="547348D4"/>
    <w:rsid w:val="55CC2D34"/>
    <w:rsid w:val="5909344F"/>
    <w:rsid w:val="59897924"/>
    <w:rsid w:val="5C141A5D"/>
    <w:rsid w:val="5CDD0439"/>
    <w:rsid w:val="5CE67FA1"/>
    <w:rsid w:val="5CEE378D"/>
    <w:rsid w:val="5D060D98"/>
    <w:rsid w:val="5FA036A9"/>
    <w:rsid w:val="62B576EB"/>
    <w:rsid w:val="657820DD"/>
    <w:rsid w:val="65D11A5E"/>
    <w:rsid w:val="65DD6367"/>
    <w:rsid w:val="66785830"/>
    <w:rsid w:val="68C32E4C"/>
    <w:rsid w:val="6ADD01C9"/>
    <w:rsid w:val="6B304E05"/>
    <w:rsid w:val="6CE1555A"/>
    <w:rsid w:val="6DBD5C00"/>
    <w:rsid w:val="6E1D7554"/>
    <w:rsid w:val="6ED32505"/>
    <w:rsid w:val="6F0207ED"/>
    <w:rsid w:val="71BE483E"/>
    <w:rsid w:val="72211966"/>
    <w:rsid w:val="748E3364"/>
    <w:rsid w:val="750B400A"/>
    <w:rsid w:val="753C601D"/>
    <w:rsid w:val="75B76010"/>
    <w:rsid w:val="76F90A23"/>
    <w:rsid w:val="77385F63"/>
    <w:rsid w:val="77B50E6B"/>
    <w:rsid w:val="78FA0B12"/>
    <w:rsid w:val="7951642C"/>
    <w:rsid w:val="79AD52E4"/>
    <w:rsid w:val="7A263BDB"/>
    <w:rsid w:val="7C190CF5"/>
    <w:rsid w:val="7DC90F57"/>
    <w:rsid w:val="7FB20A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annotation text"/>
    <w:basedOn w:val="1"/>
    <w:link w:val="16"/>
    <w:qFormat/>
    <w:uiPriority w:val="0"/>
    <w:pPr>
      <w:jc w:val="left"/>
    </w:pPr>
    <w:rPr>
      <w:rFonts w:cs="仿宋_GB2312" w:asciiTheme="minorHAnsi" w:hAnsiTheme="minorHAnsi" w:eastAsiaTheme="minorEastAsia"/>
      <w:kern w:val="0"/>
      <w:sz w:val="32"/>
      <w:szCs w:val="32"/>
    </w:rPr>
  </w:style>
  <w:style w:type="paragraph" w:styleId="4">
    <w:name w:val="Body Text"/>
    <w:basedOn w:val="1"/>
    <w:qFormat/>
    <w:uiPriority w:val="0"/>
    <w:pPr>
      <w:spacing w:after="120"/>
    </w:pPr>
  </w:style>
  <w:style w:type="paragraph" w:styleId="5">
    <w:name w:val="footer"/>
    <w:basedOn w:val="1"/>
    <w:link w:val="19"/>
    <w:qFormat/>
    <w:uiPriority w:val="99"/>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7"/>
    <w:qFormat/>
    <w:uiPriority w:val="0"/>
    <w:rPr>
      <w:rFonts w:ascii="Times New Roman" w:hAnsi="Times New Roman" w:eastAsia="宋体" w:cs="Times New Roman"/>
      <w:b/>
      <w:bCs/>
      <w:kern w:val="2"/>
      <w:sz w:val="21"/>
      <w:szCs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unhideWhenUsed/>
    <w:qFormat/>
    <w:uiPriority w:val="0"/>
    <w:rPr>
      <w:sz w:val="21"/>
      <w:szCs w:val="21"/>
    </w:rPr>
  </w:style>
  <w:style w:type="paragraph" w:customStyle="1" w:styleId="12">
    <w:name w:val="列出段落1"/>
    <w:basedOn w:val="1"/>
    <w:qFormat/>
    <w:uiPriority w:val="34"/>
    <w:pPr>
      <w:ind w:firstLine="420" w:firstLineChars="200"/>
    </w:pPr>
    <w:rPr>
      <w:rFonts w:ascii="Calibri" w:hAnsi="Calibri"/>
      <w:szCs w:val="22"/>
    </w:rPr>
  </w:style>
  <w:style w:type="paragraph" w:styleId="13">
    <w:name w:val="List Paragraph"/>
    <w:basedOn w:val="1"/>
    <w:unhideWhenUsed/>
    <w:qFormat/>
    <w:uiPriority w:val="99"/>
    <w:pPr>
      <w:ind w:firstLine="420" w:firstLineChars="200"/>
    </w:pPr>
  </w:style>
  <w:style w:type="character" w:customStyle="1" w:styleId="14">
    <w:name w:val="页眉 字符"/>
    <w:basedOn w:val="10"/>
    <w:link w:val="6"/>
    <w:qFormat/>
    <w:uiPriority w:val="0"/>
    <w:rPr>
      <w:rFonts w:ascii="Times New Roman" w:hAnsi="Times New Roman" w:eastAsia="宋体" w:cs="Times New Roman"/>
      <w:kern w:val="2"/>
      <w:sz w:val="18"/>
      <w:szCs w:val="18"/>
    </w:rPr>
  </w:style>
  <w:style w:type="paragraph" w:customStyle="1" w:styleId="15">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6">
    <w:name w:val="批注文字 字符"/>
    <w:basedOn w:val="10"/>
    <w:link w:val="3"/>
    <w:qFormat/>
    <w:uiPriority w:val="0"/>
    <w:rPr>
      <w:rFonts w:cs="仿宋_GB2312"/>
      <w:sz w:val="32"/>
      <w:szCs w:val="32"/>
    </w:rPr>
  </w:style>
  <w:style w:type="character" w:customStyle="1" w:styleId="17">
    <w:name w:val="批注主题 字符"/>
    <w:basedOn w:val="16"/>
    <w:link w:val="7"/>
    <w:qFormat/>
    <w:uiPriority w:val="0"/>
    <w:rPr>
      <w:rFonts w:ascii="Times New Roman" w:hAnsi="Times New Roman" w:eastAsia="宋体" w:cs="Times New Roman"/>
      <w:b/>
      <w:bCs/>
      <w:kern w:val="2"/>
      <w:sz w:val="21"/>
      <w:szCs w:val="24"/>
    </w:rPr>
  </w:style>
  <w:style w:type="paragraph" w:customStyle="1" w:styleId="18">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19">
    <w:name w:val="页脚 字符"/>
    <w:basedOn w:val="10"/>
    <w:link w:val="5"/>
    <w:qFormat/>
    <w:uiPriority w:val="99"/>
    <w:rPr>
      <w:rFonts w:ascii="Times New Roman" w:hAnsi="Times New Roman" w:eastAsia="宋体" w:cs="Times New Roman"/>
      <w:kern w:val="2"/>
      <w:sz w:val="18"/>
      <w:szCs w:val="18"/>
    </w:rPr>
  </w:style>
  <w:style w:type="paragraph" w:customStyle="1" w:styleId="20">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21">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22">
    <w:name w:val="Default"/>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paragraph" w:customStyle="1" w:styleId="23">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24">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29</Pages>
  <Words>28451</Words>
  <Characters>29262</Characters>
  <Lines>211</Lines>
  <Paragraphs>59</Paragraphs>
  <TotalTime>3</TotalTime>
  <ScaleCrop>false</ScaleCrop>
  <LinksUpToDate>false</LinksUpToDate>
  <CharactersWithSpaces>29294</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2022-09-21T06:09:00Z</dcterms:created>
  <dc:creator>lenovo</dc:creator>
  <cp:lastModifiedBy>HFLC-1</cp:lastModifiedBy>
  <dcterms:modified xsi:type="dcterms:W3CDTF">2025-04-11T07:05:02Z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9F9E0976A10741B686ECF1B71BCBC0BB</vt:lpwstr>
  </property>
</Properties>
</file>