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cs="仿宋"/>
          <w:b/>
          <w:bCs/>
          <w:sz w:val="44"/>
          <w:szCs w:val="44"/>
        </w:rPr>
      </w:pPr>
      <w:r>
        <w:rPr>
          <w:rFonts w:hint="eastAsia" w:ascii="仿宋" w:hAnsi="仿宋" w:eastAsia="仿宋" w:cs="仿宋"/>
          <w:b/>
          <w:bCs/>
          <w:sz w:val="44"/>
          <w:szCs w:val="44"/>
        </w:rPr>
        <w:t>泰安银行股份有限公司关于代理销售</w:t>
      </w:r>
    </w:p>
    <w:p>
      <w:pPr>
        <w:spacing w:line="560" w:lineRule="exact"/>
        <w:jc w:val="center"/>
        <w:rPr>
          <w:rFonts w:ascii="仿宋" w:hAnsi="仿宋" w:eastAsia="仿宋" w:cs="仿宋"/>
          <w:b/>
          <w:bCs/>
          <w:sz w:val="44"/>
          <w:szCs w:val="44"/>
        </w:rPr>
      </w:pPr>
      <w:r>
        <w:rPr>
          <w:rFonts w:hint="eastAsia" w:ascii="仿宋" w:hAnsi="仿宋" w:eastAsia="仿宋" w:cs="仿宋"/>
          <w:b/>
          <w:bCs/>
          <w:sz w:val="44"/>
          <w:szCs w:val="44"/>
        </w:rPr>
        <w:t>青银理财有限责任公司公司理财产品的公告</w:t>
      </w:r>
    </w:p>
    <w:p>
      <w:pPr>
        <w:spacing w:line="560" w:lineRule="exact"/>
        <w:jc w:val="center"/>
        <w:rPr>
          <w:rFonts w:ascii="仿宋" w:hAnsi="仿宋" w:eastAsia="仿宋" w:cs="仿宋"/>
          <w:b/>
          <w:bCs/>
          <w:sz w:val="44"/>
          <w:szCs w:val="44"/>
        </w:rPr>
      </w:pPr>
    </w:p>
    <w:p>
      <w:pPr>
        <w:spacing w:line="560" w:lineRule="exact"/>
        <w:rPr>
          <w:rFonts w:ascii="仿宋" w:hAnsi="仿宋" w:eastAsia="仿宋" w:cs="仿宋"/>
          <w:sz w:val="32"/>
          <w:szCs w:val="32"/>
        </w:rPr>
      </w:pPr>
      <w:r>
        <w:rPr>
          <w:rFonts w:hint="eastAsia" w:ascii="仿宋" w:hAnsi="仿宋" w:eastAsia="仿宋" w:cs="仿宋"/>
          <w:sz w:val="32"/>
          <w:szCs w:val="32"/>
        </w:rPr>
        <w:t>尊敬的客户：</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根据泰安银行股份有限公司（以下简称“本行”）与青银理财有限责任公司（以下简称：青银理财）签署的《理财产品代理销售服务主协议》，本行将代理销售青银理财旗下理财产品。</w:t>
      </w:r>
    </w:p>
    <w:p>
      <w:pPr>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sz w:val="32"/>
          <w:szCs w:val="32"/>
        </w:rPr>
        <w:t>青银理财是由国家金融监督管理总局批准设立的商业银行理财子公司，</w:t>
      </w:r>
      <w:r>
        <w:rPr>
          <w:rFonts w:hint="eastAsia" w:ascii="仿宋" w:hAnsi="仿宋" w:eastAsia="仿宋" w:cs="仿宋"/>
          <w:color w:val="auto"/>
          <w:sz w:val="32"/>
          <w:szCs w:val="32"/>
          <w:highlight w:val="none"/>
        </w:rPr>
        <w:t>于20</w:t>
      </w:r>
      <w:r>
        <w:rPr>
          <w:rFonts w:ascii="仿宋" w:hAnsi="仿宋" w:eastAsia="仿宋" w:cs="仿宋"/>
          <w:color w:val="auto"/>
          <w:sz w:val="32"/>
          <w:szCs w:val="32"/>
          <w:highlight w:val="none"/>
        </w:rPr>
        <w:t>20</w:t>
      </w:r>
      <w:r>
        <w:rPr>
          <w:rFonts w:hint="eastAsia" w:ascii="仿宋" w:hAnsi="仿宋" w:eastAsia="仿宋" w:cs="仿宋"/>
          <w:color w:val="auto"/>
          <w:sz w:val="32"/>
          <w:szCs w:val="32"/>
          <w:highlight w:val="none"/>
        </w:rPr>
        <w:t>年1</w:t>
      </w:r>
      <w:r>
        <w:rPr>
          <w:rFonts w:ascii="仿宋" w:hAnsi="仿宋" w:eastAsia="仿宋" w:cs="仿宋"/>
          <w:color w:val="auto"/>
          <w:sz w:val="32"/>
          <w:szCs w:val="32"/>
          <w:highlight w:val="none"/>
        </w:rPr>
        <w:t>1</w:t>
      </w:r>
      <w:r>
        <w:rPr>
          <w:rFonts w:hint="eastAsia" w:ascii="仿宋" w:hAnsi="仿宋" w:eastAsia="仿宋" w:cs="仿宋"/>
          <w:color w:val="auto"/>
          <w:sz w:val="32"/>
          <w:szCs w:val="32"/>
          <w:highlight w:val="none"/>
        </w:rPr>
        <w:t>月正式开业，经营范围包括非银行金融业务。青银理财相关信息如下：</w:t>
      </w:r>
    </w:p>
    <w:tbl>
      <w:tblPr>
        <w:tblStyle w:val="5"/>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pPr>
              <w:spacing w:line="320" w:lineRule="exact"/>
              <w:jc w:val="center"/>
              <w:rPr>
                <w:rFonts w:ascii="仿宋" w:hAnsi="仿宋" w:eastAsia="仿宋" w:cs="仿宋"/>
                <w:color w:val="auto"/>
                <w:sz w:val="32"/>
                <w:szCs w:val="32"/>
                <w:highlight w:val="none"/>
              </w:rPr>
            </w:pPr>
            <w:r>
              <w:rPr>
                <w:rFonts w:hint="eastAsia" w:ascii="仿宋" w:hAnsi="仿宋" w:eastAsia="仿宋" w:cs="仿宋"/>
                <w:color w:val="auto"/>
                <w:spacing w:val="20"/>
                <w:kern w:val="0"/>
                <w:sz w:val="32"/>
                <w:szCs w:val="32"/>
                <w:highlight w:val="none"/>
                <w:fitText w:val="1400" w:id="1015027475"/>
              </w:rPr>
              <w:t>注册资</w:t>
            </w:r>
            <w:r>
              <w:rPr>
                <w:rFonts w:hint="eastAsia" w:ascii="仿宋" w:hAnsi="仿宋" w:eastAsia="仿宋" w:cs="仿宋"/>
                <w:color w:val="auto"/>
                <w:spacing w:val="0"/>
                <w:kern w:val="0"/>
                <w:sz w:val="32"/>
                <w:szCs w:val="32"/>
                <w:highlight w:val="none"/>
                <w:fitText w:val="1400" w:id="1015027475"/>
              </w:rPr>
              <w:t>本</w:t>
            </w:r>
          </w:p>
        </w:tc>
        <w:tc>
          <w:tcPr>
            <w:tcW w:w="6854" w:type="dxa"/>
            <w:vAlign w:val="center"/>
          </w:tcPr>
          <w:p>
            <w:pPr>
              <w:spacing w:line="320" w:lineRule="exac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pPr>
              <w:spacing w:line="320" w:lineRule="exact"/>
              <w:jc w:val="center"/>
              <w:rPr>
                <w:rFonts w:ascii="仿宋" w:hAnsi="仿宋" w:eastAsia="仿宋" w:cs="仿宋"/>
                <w:color w:val="auto"/>
                <w:sz w:val="32"/>
                <w:szCs w:val="32"/>
                <w:highlight w:val="none"/>
              </w:rPr>
            </w:pPr>
            <w:r>
              <w:rPr>
                <w:rFonts w:hint="eastAsia" w:ascii="仿宋" w:hAnsi="仿宋" w:eastAsia="仿宋" w:cs="仿宋"/>
                <w:color w:val="auto"/>
                <w:spacing w:val="20"/>
                <w:kern w:val="0"/>
                <w:sz w:val="32"/>
                <w:szCs w:val="32"/>
                <w:highlight w:val="none"/>
                <w:fitText w:val="1400" w:id="1015027475"/>
              </w:rPr>
              <w:t>办公地</w:t>
            </w:r>
            <w:r>
              <w:rPr>
                <w:rFonts w:hint="eastAsia" w:ascii="仿宋" w:hAnsi="仿宋" w:eastAsia="仿宋" w:cs="仿宋"/>
                <w:color w:val="auto"/>
                <w:spacing w:val="0"/>
                <w:kern w:val="0"/>
                <w:sz w:val="32"/>
                <w:szCs w:val="32"/>
                <w:highlight w:val="none"/>
                <w:fitText w:val="1400" w:id="1015027475"/>
              </w:rPr>
              <w:t>址</w:t>
            </w:r>
          </w:p>
        </w:tc>
        <w:tc>
          <w:tcPr>
            <w:tcW w:w="6854" w:type="dxa"/>
            <w:vAlign w:val="center"/>
          </w:tcPr>
          <w:p>
            <w:pPr>
              <w:spacing w:line="320" w:lineRule="exact"/>
              <w:rPr>
                <w:rFonts w:ascii="仿宋" w:hAnsi="仿宋" w:eastAsia="仿宋" w:cs="仿宋"/>
                <w:color w:val="auto"/>
                <w:sz w:val="32"/>
                <w:szCs w:val="32"/>
                <w:highlight w:val="none"/>
              </w:rPr>
            </w:pPr>
            <w:r>
              <w:rPr>
                <w:rFonts w:hint="eastAsia" w:ascii="仿宋" w:hAnsi="仿宋" w:eastAsia="仿宋"/>
                <w:color w:val="auto"/>
                <w:sz w:val="32"/>
                <w:szCs w:val="32"/>
                <w:highlight w:val="none"/>
              </w:rPr>
              <w:t>山东省青岛市崂山区秦岭路</w:t>
            </w:r>
            <w:r>
              <w:rPr>
                <w:rFonts w:ascii="仿宋" w:hAnsi="仿宋" w:eastAsia="仿宋"/>
                <w:color w:val="auto"/>
                <w:sz w:val="32"/>
                <w:szCs w:val="32"/>
                <w:highlight w:val="none"/>
              </w:rPr>
              <w:t>19号1号楼青岛环球金融中心(WFC协信中心)37-40层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pPr>
              <w:spacing w:line="320" w:lineRule="exact"/>
              <w:jc w:val="center"/>
              <w:rPr>
                <w:rFonts w:ascii="仿宋" w:hAnsi="仿宋" w:eastAsia="仿宋" w:cs="仿宋"/>
                <w:color w:val="auto"/>
                <w:sz w:val="32"/>
                <w:szCs w:val="32"/>
                <w:highlight w:val="none"/>
              </w:rPr>
            </w:pPr>
            <w:r>
              <w:rPr>
                <w:rFonts w:hint="eastAsia" w:ascii="仿宋" w:hAnsi="仿宋" w:eastAsia="仿宋" w:cs="仿宋"/>
                <w:color w:val="auto"/>
                <w:spacing w:val="1"/>
                <w:w w:val="87"/>
                <w:kern w:val="0"/>
                <w:sz w:val="32"/>
                <w:szCs w:val="32"/>
                <w:highlight w:val="none"/>
                <w:fitText w:val="1400" w:id="2"/>
              </w:rPr>
              <w:t>法定代表</w:t>
            </w:r>
            <w:r>
              <w:rPr>
                <w:rFonts w:hint="eastAsia" w:ascii="仿宋" w:hAnsi="仿宋" w:eastAsia="仿宋" w:cs="仿宋"/>
                <w:color w:val="auto"/>
                <w:spacing w:val="2"/>
                <w:w w:val="87"/>
                <w:kern w:val="0"/>
                <w:sz w:val="32"/>
                <w:szCs w:val="32"/>
                <w:highlight w:val="none"/>
                <w:fitText w:val="1400" w:id="2"/>
              </w:rPr>
              <w:t>人</w:t>
            </w:r>
          </w:p>
        </w:tc>
        <w:tc>
          <w:tcPr>
            <w:tcW w:w="6854" w:type="dxa"/>
            <w:vAlign w:val="center"/>
          </w:tcPr>
          <w:p>
            <w:pPr>
              <w:spacing w:line="320" w:lineRule="exact"/>
              <w:rPr>
                <w:rFonts w:ascii="仿宋" w:hAnsi="仿宋" w:eastAsia="仿宋" w:cs="仿宋"/>
                <w:color w:val="auto"/>
                <w:sz w:val="32"/>
                <w:szCs w:val="32"/>
                <w:highlight w:val="none"/>
              </w:rPr>
            </w:pPr>
            <w:r>
              <w:rPr>
                <w:rFonts w:hint="eastAsia" w:ascii="仿宋" w:hAnsi="仿宋" w:eastAsia="仿宋"/>
                <w:color w:val="auto"/>
                <w:sz w:val="32"/>
                <w:szCs w:val="32"/>
                <w:highlight w:val="none"/>
              </w:rPr>
              <w:t>赵煊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pPr>
              <w:spacing w:line="320" w:lineRule="exact"/>
              <w:jc w:val="center"/>
              <w:rPr>
                <w:rFonts w:ascii="仿宋" w:hAnsi="仿宋" w:eastAsia="仿宋" w:cs="仿宋"/>
                <w:color w:val="auto"/>
                <w:sz w:val="32"/>
                <w:szCs w:val="32"/>
                <w:highlight w:val="none"/>
              </w:rPr>
            </w:pPr>
            <w:r>
              <w:rPr>
                <w:rFonts w:hint="eastAsia" w:ascii="仿宋" w:hAnsi="仿宋" w:eastAsia="仿宋" w:cs="仿宋"/>
                <w:color w:val="auto"/>
                <w:spacing w:val="20"/>
                <w:kern w:val="0"/>
                <w:sz w:val="32"/>
                <w:szCs w:val="32"/>
                <w:highlight w:val="none"/>
                <w:fitText w:val="1400" w:id="3"/>
              </w:rPr>
              <w:t>客服热</w:t>
            </w:r>
            <w:r>
              <w:rPr>
                <w:rFonts w:hint="eastAsia" w:ascii="仿宋" w:hAnsi="仿宋" w:eastAsia="仿宋" w:cs="仿宋"/>
                <w:color w:val="auto"/>
                <w:spacing w:val="0"/>
                <w:kern w:val="0"/>
                <w:sz w:val="32"/>
                <w:szCs w:val="32"/>
                <w:highlight w:val="none"/>
                <w:fitText w:val="1400" w:id="3"/>
              </w:rPr>
              <w:t>线</w:t>
            </w:r>
          </w:p>
        </w:tc>
        <w:tc>
          <w:tcPr>
            <w:tcW w:w="6854" w:type="dxa"/>
            <w:vAlign w:val="center"/>
          </w:tcPr>
          <w:p>
            <w:pPr>
              <w:spacing w:line="320" w:lineRule="exact"/>
              <w:rPr>
                <w:rFonts w:ascii="仿宋" w:hAnsi="仿宋" w:eastAsia="仿宋" w:cs="仿宋"/>
                <w:color w:val="auto"/>
                <w:sz w:val="32"/>
                <w:szCs w:val="32"/>
                <w:highlight w:val="none"/>
              </w:rPr>
            </w:pPr>
            <w:r>
              <w:rPr>
                <w:rFonts w:hint="eastAsia" w:ascii="仿宋" w:hAnsi="仿宋" w:eastAsia="仿宋"/>
                <w:color w:val="auto"/>
                <w:spacing w:val="15"/>
                <w:sz w:val="32"/>
                <w:szCs w:val="32"/>
                <w:highlight w:val="none"/>
                <w:shd w:val="clear" w:color="auto" w:fill="F2F3F8"/>
              </w:rPr>
              <w:t>400-0879-666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pPr>
              <w:spacing w:line="320" w:lineRule="exact"/>
              <w:jc w:val="center"/>
              <w:rPr>
                <w:rFonts w:ascii="仿宋" w:hAnsi="仿宋" w:eastAsia="仿宋" w:cs="仿宋"/>
                <w:color w:val="auto"/>
                <w:sz w:val="32"/>
                <w:szCs w:val="32"/>
                <w:highlight w:val="none"/>
              </w:rPr>
            </w:pPr>
            <w:r>
              <w:rPr>
                <w:rFonts w:hint="eastAsia" w:ascii="仿宋" w:hAnsi="仿宋" w:eastAsia="仿宋" w:cs="仿宋"/>
                <w:color w:val="auto"/>
                <w:spacing w:val="380"/>
                <w:kern w:val="0"/>
                <w:sz w:val="32"/>
                <w:szCs w:val="32"/>
                <w:highlight w:val="none"/>
                <w:fitText w:val="1400" w:id="4"/>
              </w:rPr>
              <w:t>网</w:t>
            </w:r>
            <w:r>
              <w:rPr>
                <w:rFonts w:hint="eastAsia" w:ascii="仿宋" w:hAnsi="仿宋" w:eastAsia="仿宋" w:cs="仿宋"/>
                <w:color w:val="auto"/>
                <w:spacing w:val="0"/>
                <w:kern w:val="0"/>
                <w:sz w:val="32"/>
                <w:szCs w:val="32"/>
                <w:highlight w:val="none"/>
                <w:fitText w:val="1400" w:id="4"/>
              </w:rPr>
              <w:t>址</w:t>
            </w:r>
          </w:p>
        </w:tc>
        <w:tc>
          <w:tcPr>
            <w:tcW w:w="6854" w:type="dxa"/>
            <w:vAlign w:val="center"/>
          </w:tcPr>
          <w:p>
            <w:pPr>
              <w:widowControl/>
              <w:jc w:val="left"/>
              <w:rPr>
                <w:rFonts w:hint="eastAsia"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https://www.bqd-wm.com</w:t>
            </w:r>
            <w:bookmarkStart w:id="0" w:name="_GoBack"/>
            <w:bookmarkEnd w:id="0"/>
          </w:p>
        </w:tc>
      </w:tr>
    </w:tbl>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后续代销的具体理财产品将通过本行官方渠道进行展示，敬请关注。投资者也可依据理财产品登记编码在中国理财网（https://www.chinawealth.com.cn)查询产品信息。</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特此公告。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感谢您一直以来对本行的支持！</w:t>
      </w:r>
    </w:p>
    <w:p>
      <w:pPr>
        <w:spacing w:line="560" w:lineRule="exact"/>
        <w:ind w:right="850" w:rightChars="405" w:firstLine="640" w:firstLineChars="200"/>
        <w:jc w:val="right"/>
        <w:rPr>
          <w:rFonts w:ascii="仿宋" w:hAnsi="仿宋" w:eastAsia="仿宋" w:cs="仿宋"/>
          <w:sz w:val="32"/>
          <w:szCs w:val="32"/>
        </w:rPr>
      </w:pPr>
      <w:r>
        <w:rPr>
          <w:rFonts w:hint="eastAsia" w:ascii="仿宋" w:hAnsi="仿宋" w:eastAsia="仿宋" w:cs="仿宋"/>
          <w:sz w:val="32"/>
          <w:szCs w:val="32"/>
        </w:rPr>
        <w:t>泰安银行股份有限公司</w:t>
      </w:r>
    </w:p>
    <w:p>
      <w:pPr>
        <w:spacing w:line="560" w:lineRule="exact"/>
        <w:ind w:right="1186" w:rightChars="565" w:firstLine="640" w:firstLineChars="200"/>
        <w:jc w:val="right"/>
        <w:rPr>
          <w:rFonts w:ascii="仿宋" w:hAnsi="仿宋" w:eastAsia="仿宋" w:cs="仿宋"/>
          <w:sz w:val="32"/>
          <w:szCs w:val="32"/>
        </w:rPr>
      </w:pPr>
      <w:r>
        <w:rPr>
          <w:rFonts w:hint="eastAsia" w:ascii="仿宋" w:hAnsi="仿宋" w:eastAsia="仿宋" w:cs="仿宋"/>
          <w:sz w:val="32"/>
          <w:szCs w:val="32"/>
        </w:rPr>
        <w:t>2025年9月19日</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552"/>
    <w:rsid w:val="003D3227"/>
    <w:rsid w:val="00AB5552"/>
    <w:rsid w:val="03FA1C7F"/>
    <w:rsid w:val="4F6A765A"/>
    <w:rsid w:val="56B83A8D"/>
    <w:rsid w:val="5A0165F4"/>
    <w:rsid w:val="5F933D71"/>
    <w:rsid w:val="62346302"/>
    <w:rsid w:val="62670C0B"/>
    <w:rsid w:val="62E72569"/>
    <w:rsid w:val="65751D54"/>
    <w:rsid w:val="728D63B3"/>
    <w:rsid w:val="756A6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qdccb.com</Company>
  <Pages>1</Pages>
  <Words>66</Words>
  <Characters>381</Characters>
  <Lines>3</Lines>
  <Paragraphs>1</Paragraphs>
  <TotalTime>7</TotalTime>
  <ScaleCrop>false</ScaleCrop>
  <LinksUpToDate>false</LinksUpToDate>
  <CharactersWithSpaces>446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2021-09-14T16:49:00Z</dcterms:created>
  <dc:creator>崔 盛夏</dc:creator>
  <cp:lastModifiedBy>Administrator</cp:lastModifiedBy>
  <dcterms:modified xsi:type="dcterms:W3CDTF">2025-09-19T09:18:09Z</dcterms:modified>
  <dc:title>泰安银行股份有限公司关于代理销售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7EF0F76D6B034AFFBEDC7B26658C2F13</vt:lpwstr>
  </property>
  <property fmtid="{D5CDD505-2E9C-101B-9397-08002B2CF9AE}" pid="4" name="KSOTemplateDocerSaveRecord">
    <vt:lpwstr>eyJoZGlkIjoiZmY3NDE4MzFlZjMzNTZkMzdlMjM5YTJlMTYwMzQ2ZTAiLCJ1c2VySWQiOiIyNzcxNzgxNiJ9</vt:lpwstr>
  </property>
</Properties>
</file>