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both"/>
        <w:rPr>
          <w:rFonts w:ascii="宋体" w:hAnsi="宋体" w:cs="宋体"/>
          <w:b/>
          <w:bCs/>
          <w:szCs w:val="21"/>
        </w:rPr>
      </w:pPr>
      <w:r>
        <w:rPr>
          <w:rFonts w:hint="eastAsia" w:ascii="宋体" w:hAnsi="宋体" w:cs="宋体"/>
          <w:b/>
          <w:bCs/>
          <w:color w:val="FF0000"/>
          <w:szCs w:val="21"/>
        </w:rPr>
        <w:t>理财非存款、产品有风险、投资</w:t>
      </w:r>
      <w:r>
        <w:rPr>
          <w:rFonts w:hint="eastAsia" w:ascii="宋体" w:hAnsi="宋体" w:cs="宋体"/>
          <w:b/>
          <w:bCs/>
          <w:color w:val="FF0000"/>
          <w:szCs w:val="21"/>
          <w:lang w:eastAsia="zh-CN"/>
        </w:rPr>
        <w:t>须</w:t>
      </w:r>
      <w:r>
        <w:rPr>
          <w:rFonts w:hint="eastAsia" w:ascii="宋体" w:hAnsi="宋体" w:cs="宋体"/>
          <w:b/>
          <w:bCs/>
          <w:color w:val="FF0000"/>
          <w:szCs w:val="21"/>
        </w:rPr>
        <w:t>谨慎。</w:t>
      </w:r>
      <w:r>
        <w:rPr>
          <w:rFonts w:hint="eastAsia" w:ascii="宋体" w:hAnsi="宋体" w:cs="宋体"/>
          <w:b/>
          <w:bCs/>
          <w:color w:val="FF0000"/>
          <w:szCs w:val="21"/>
          <w:lang w:val="en-US" w:eastAsia="zh-CN"/>
        </w:rPr>
        <w:t xml:space="preserve">                         </w:t>
      </w:r>
      <w:r>
        <w:rPr>
          <w:rFonts w:hint="eastAsia" w:ascii="宋体" w:hAnsi="宋体" w:cs="宋体"/>
          <w:b/>
          <w:bCs/>
          <w:szCs w:val="21"/>
        </w:rPr>
        <w:t>版本号：C202</w:t>
      </w:r>
      <w:r>
        <w:rPr>
          <w:rFonts w:hint="eastAsia" w:ascii="宋体" w:hAnsi="宋体" w:cs="宋体"/>
          <w:b/>
          <w:bCs/>
          <w:szCs w:val="21"/>
          <w:lang w:val="en-US" w:eastAsia="zh-CN"/>
        </w:rPr>
        <w:t>10</w:t>
      </w:r>
      <w:r>
        <w:rPr>
          <w:rFonts w:hint="eastAsia" w:ascii="宋体" w:hAnsi="宋体" w:cs="宋体"/>
          <w:b/>
          <w:bCs/>
          <w:szCs w:val="21"/>
        </w:rPr>
        <w:t>9001</w:t>
      </w:r>
    </w:p>
    <w:p>
      <w:pPr>
        <w:snapToGrid w:val="0"/>
        <w:rPr>
          <w:rFonts w:ascii="宋体" w:hAnsi="宋体" w:cs="宋体"/>
          <w:b/>
          <w:bCs/>
          <w:color w:val="FF0000"/>
          <w:szCs w:val="21"/>
        </w:rPr>
      </w:pPr>
    </w:p>
    <w:p>
      <w:pPr>
        <w:snapToGrid w:val="0"/>
        <w:rPr>
          <w:rFonts w:ascii="宋体" w:hAnsi="宋体" w:cs="宋体"/>
          <w:b/>
          <w:bCs/>
          <w:szCs w:val="21"/>
        </w:rPr>
      </w:pPr>
    </w:p>
    <w:p>
      <w:pPr>
        <w:snapToGrid w:val="0"/>
        <w:spacing w:beforeLines="50"/>
        <w:ind w:firstLine="551"/>
        <w:jc w:val="center"/>
        <w:rPr>
          <w:rFonts w:ascii="宋体" w:hAnsi="宋体" w:cs="宋体"/>
          <w:b/>
          <w:sz w:val="28"/>
          <w:szCs w:val="28"/>
        </w:rPr>
      </w:pPr>
      <w:r>
        <w:rPr>
          <w:rFonts w:hint="eastAsia" w:ascii="宋体" w:hAnsi="宋体" w:cs="宋体"/>
          <w:b/>
          <w:sz w:val="28"/>
          <w:szCs w:val="28"/>
        </w:rPr>
        <w:t>“金紫薇”共赢C系列1号人民币理财产品说明书</w:t>
      </w:r>
    </w:p>
    <w:p>
      <w:pPr>
        <w:snapToGrid w:val="0"/>
        <w:spacing w:beforeLines="50"/>
        <w:ind w:firstLine="551"/>
        <w:jc w:val="center"/>
        <w:rPr>
          <w:rFonts w:ascii="宋体" w:hAnsi="宋体" w:cs="宋体"/>
          <w:b/>
          <w:bCs/>
          <w:szCs w:val="21"/>
        </w:rPr>
      </w:pPr>
    </w:p>
    <w:p>
      <w:pPr>
        <w:adjustRightInd w:val="0"/>
        <w:snapToGrid w:val="0"/>
        <w:spacing w:line="360" w:lineRule="auto"/>
        <w:ind w:right="105"/>
        <w:rPr>
          <w:rFonts w:ascii="宋体" w:hAnsi="宋体" w:cs="宋体"/>
          <w:b/>
          <w:bCs/>
          <w:sz w:val="28"/>
          <w:szCs w:val="28"/>
        </w:rPr>
      </w:pPr>
      <w:r>
        <w:rPr>
          <w:rFonts w:hint="eastAsia" w:ascii="宋体" w:hAnsi="宋体" w:cs="宋体"/>
          <w:b/>
          <w:bCs/>
          <w:sz w:val="28"/>
          <w:szCs w:val="28"/>
        </w:rPr>
        <w:t>重要提示：</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1、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2、本期理财产品存在信用风险、市场风险、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3、</w:t>
      </w:r>
      <w:r>
        <w:rPr>
          <w:rFonts w:ascii="宋体" w:hAnsi="宋体" w:cs="宋体"/>
          <w:b/>
          <w:bCs/>
          <w:szCs w:val="21"/>
        </w:rPr>
        <w:t>本理财产品是非保本浮动收益类理财产品，不保证本金和收益，客户的本金与收益可能会因市场变动而蒙受重大损失，最不利情形是本金及收益全部损失，上述后果由客户自行承担。</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highlight w:val="none"/>
          <w:lang w:val="en-US" w:eastAsia="zh-CN"/>
        </w:rPr>
        <w:t>4</w:t>
      </w:r>
      <w:r>
        <w:rPr>
          <w:rFonts w:hint="eastAsia" w:ascii="宋体" w:hAnsi="宋体" w:cs="宋体"/>
          <w:b/>
          <w:bCs/>
          <w:szCs w:val="21"/>
          <w:highlight w:val="none"/>
        </w:rPr>
        <w:t>、本行提醒投资者关注，业绩比较基准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rPr>
      </w:pPr>
      <w:r>
        <w:rPr>
          <w:rFonts w:hint="eastAsia" w:ascii="宋体" w:hAnsi="宋体" w:cs="宋体"/>
          <w:b/>
          <w:bCs/>
          <w:szCs w:val="21"/>
        </w:rPr>
        <w:t>5、如投资者认购的理财产品为净值型产品，投资者所持有的理财份额并不必然等于认购金额。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6、投资者不得使用贷款、发行债券等筹集的非自有资金及非法所得资金投资本理财产品。投资者指定账户应保持正常状态，否则可能造成理财产品购买失败。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lang w:val="zh-CN"/>
        </w:rPr>
      </w:pPr>
      <w:r>
        <w:rPr>
          <w:rFonts w:hint="eastAsia" w:ascii="宋体" w:hAnsi="宋体" w:cs="宋体"/>
          <w:b/>
          <w:bCs/>
          <w:szCs w:val="21"/>
        </w:rPr>
        <w:t>7、本期理财产品不向投资者收取购买费用，</w:t>
      </w:r>
      <w:r>
        <w:rPr>
          <w:rFonts w:hint="eastAsia" w:ascii="宋体" w:hAnsi="宋体" w:cs="宋体"/>
          <w:b/>
          <w:bCs/>
          <w:szCs w:val="21"/>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8、本期理财产品申购交易在最近一个确认日生效，投资者如不进行赎回操作，所持有产品份额自动滚续至下一个投资周期。</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9、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10、投资者在购买本期理财产品后，应随时关注本期理财产品的信息披露情况，获取相关信息。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color w:val="000000"/>
          <w:szCs w:val="21"/>
        </w:rPr>
        <w:t>1</w:t>
      </w:r>
      <w:r>
        <w:rPr>
          <w:rFonts w:hint="eastAsia" w:ascii="宋体" w:hAnsi="宋体" w:cs="宋体"/>
          <w:b/>
          <w:bCs/>
          <w:szCs w:val="21"/>
        </w:rPr>
        <w:t>1、泰安银行提示您关注本说明书“十、重要须知”。</w:t>
      </w:r>
    </w:p>
    <w:p>
      <w:pPr>
        <w:widowControl/>
        <w:adjustRightInd w:val="0"/>
        <w:snapToGrid w:val="0"/>
        <w:spacing w:line="360" w:lineRule="auto"/>
        <w:ind w:firstLine="413" w:firstLineChars="196"/>
        <w:jc w:val="left"/>
        <w:rPr>
          <w:rFonts w:ascii="宋体" w:hAnsi="宋体" w:cs="宋体"/>
          <w:b/>
          <w:bCs/>
          <w:szCs w:val="21"/>
        </w:rPr>
      </w:pPr>
    </w:p>
    <w:p>
      <w:pPr>
        <w:widowControl/>
        <w:adjustRightInd w:val="0"/>
        <w:snapToGrid w:val="0"/>
        <w:spacing w:line="360" w:lineRule="auto"/>
        <w:ind w:firstLine="413" w:firstLineChars="196"/>
        <w:jc w:val="left"/>
        <w:rPr>
          <w:rFonts w:ascii="宋体" w:hAnsi="宋体" w:cs="宋体"/>
          <w:b/>
          <w:bCs/>
          <w:szCs w:val="21"/>
        </w:rPr>
      </w:pP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一、产品基本信息</w:t>
      </w:r>
    </w:p>
    <w:tbl>
      <w:tblPr>
        <w:tblStyle w:val="11"/>
        <w:tblW w:w="9404"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“金紫薇”共赢C系列1号人民币理财产品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5"/>
              <w:ind w:left="155"/>
              <w:jc w:val="center"/>
              <w:rPr>
                <w:szCs w:val="21"/>
                <w:lang w:val="en-US"/>
              </w:rPr>
            </w:pPr>
            <w:r>
              <w:rPr>
                <w:rFonts w:hint="eastAsia"/>
                <w:szCs w:val="21"/>
                <w:lang w:val="en-US"/>
              </w:rPr>
              <w:t>理财信息登记系统</w:t>
            </w:r>
          </w:p>
          <w:p>
            <w:pPr>
              <w:pStyle w:val="15"/>
              <w:ind w:left="155"/>
              <w:jc w:val="center"/>
              <w:rPr>
                <w:szCs w:val="21"/>
              </w:rPr>
            </w:pPr>
            <w:r>
              <w:rPr>
                <w:rFonts w:hint="eastAsia"/>
                <w:szCs w:val="21"/>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hint="eastAsia" w:ascii="宋体" w:hAnsi="宋体" w:cs="宋体"/>
                <w:sz w:val="21"/>
                <w:szCs w:val="21"/>
              </w:rPr>
            </w:pPr>
            <w:r>
              <w:rPr>
                <w:rFonts w:ascii="宋体" w:hAnsi="宋体" w:cs="宋体"/>
                <w:sz w:val="21"/>
                <w:szCs w:val="21"/>
              </w:rPr>
              <w:t>C1315821000033</w:t>
            </w:r>
          </w:p>
          <w:p>
            <w:pPr>
              <w:pStyle w:val="9"/>
              <w:widowControl/>
              <w:rPr>
                <w:rFonts w:ascii="宋体" w:hAnsi="宋体" w:cs="宋体"/>
                <w:kern w:val="2"/>
                <w:sz w:val="21"/>
                <w:szCs w:val="21"/>
              </w:rPr>
            </w:pPr>
            <w:r>
              <w:rPr>
                <w:rFonts w:hint="eastAsia" w:ascii="宋体" w:hAnsi="宋体" w:cs="宋体"/>
                <w:kern w:val="2"/>
                <w:sz w:val="21"/>
                <w:szCs w:val="21"/>
              </w:rPr>
              <w:t>（可通过中国理财网</w:t>
            </w:r>
            <w:r>
              <w:fldChar w:fldCharType="begin"/>
            </w:r>
            <w:r>
              <w:instrText xml:space="preserve">HYPERLINK "http://www.chinawealth.com.cn/" </w:instrText>
            </w:r>
            <w:r>
              <w:fldChar w:fldCharType="separate"/>
            </w:r>
            <w:r>
              <w:rPr>
                <w:rFonts w:hint="eastAsia" w:ascii="宋体" w:hAnsi="宋体" w:cs="宋体"/>
                <w:kern w:val="2"/>
                <w:sz w:val="21"/>
                <w:szCs w:val="21"/>
              </w:rPr>
              <w:t>http://www.chinawealth.com.cn</w:t>
            </w:r>
            <w: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C21001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rPr>
            </w:pPr>
            <w:r>
              <w:rPr>
                <w:rFonts w:hint="eastAsia" w:ascii="宋体" w:hAnsi="宋体" w:cs="宋体"/>
                <w:b/>
                <w:bCs/>
                <w:szCs w:val="21"/>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rPr>
            </w:pPr>
            <w:r>
              <w:rPr>
                <w:rFonts w:hint="eastAsia" w:ascii="宋体" w:hAnsi="宋体" w:cs="宋体"/>
                <w:b/>
                <w:bCs/>
                <w:szCs w:val="21"/>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rPr>
            </w:pPr>
            <w:r>
              <w:rPr>
                <w:rFonts w:hint="eastAsia" w:ascii="宋体" w:hAnsi="宋体" w:cs="宋体"/>
                <w:szCs w:val="21"/>
              </w:rPr>
              <w:t>1、适合经泰安银行个人客户投资风险承受能力评估体系评定为稳健型、平衡型、成长型、进取型的有投资经验和无投资经验的个人客户。</w:t>
            </w:r>
          </w:p>
          <w:p>
            <w:pPr>
              <w:rPr>
                <w:rFonts w:ascii="宋体" w:hAnsi="宋体" w:cs="宋体"/>
                <w:szCs w:val="21"/>
              </w:rPr>
            </w:pPr>
            <w:r>
              <w:rPr>
                <w:rFonts w:hint="eastAsia" w:ascii="宋体" w:hAnsi="宋体"/>
                <w:szCs w:val="30"/>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 w:val="24"/>
              </w:rPr>
              <w:t>募集</w:t>
            </w:r>
            <w:r>
              <w:rPr>
                <w:rFonts w:hint="eastAsia" w:ascii="宋体" w:hAnsi="宋体" w:cs="宋体"/>
                <w:szCs w:val="21"/>
              </w:rPr>
              <w:t>期</w:t>
            </w:r>
          </w:p>
        </w:tc>
        <w:tc>
          <w:tcPr>
            <w:tcW w:w="7120" w:type="dxa"/>
            <w:tcBorders>
              <w:top w:val="outset" w:color="auto" w:sz="6" w:space="0"/>
              <w:left w:val="nil"/>
              <w:bottom w:val="outset" w:color="auto" w:sz="6" w:space="0"/>
              <w:right w:val="outset" w:color="auto" w:sz="6" w:space="0"/>
            </w:tcBorders>
            <w:vAlign w:val="center"/>
          </w:tcPr>
          <w:p>
            <w:pPr>
              <w:pStyle w:val="15"/>
              <w:rPr>
                <w:szCs w:val="21"/>
                <w:lang w:val="en-US"/>
              </w:rPr>
            </w:pPr>
            <w:r>
              <w:rPr>
                <w:rFonts w:hint="eastAsia"/>
                <w:szCs w:val="21"/>
                <w:lang w:val="en-US"/>
              </w:rPr>
              <w:t>2021年9月22日08:30至2021年9月28日17:30</w:t>
            </w:r>
          </w:p>
          <w:p>
            <w:pPr>
              <w:pStyle w:val="15"/>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2021年9月29日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2097年12月31日（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产品总规模上限50亿元</w:t>
            </w:r>
          </w:p>
          <w:p>
            <w:pPr>
              <w:widowControl/>
              <w:adjustRightInd w:val="0"/>
              <w:snapToGrid w:val="0"/>
              <w:spacing w:line="360" w:lineRule="auto"/>
              <w:jc w:val="left"/>
              <w:rPr>
                <w:rFonts w:ascii="宋体" w:hAnsi="宋体" w:cs="宋体"/>
                <w:szCs w:val="21"/>
              </w:rPr>
            </w:pPr>
            <w:r>
              <w:rPr>
                <w:rFonts w:hint="eastAsia" w:ascii="宋体" w:hAnsi="宋体" w:cs="宋体"/>
                <w:szCs w:val="21"/>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red"/>
              </w:rPr>
            </w:pPr>
            <w:r>
              <w:rPr>
                <w:rFonts w:hint="eastAsia" w:ascii="宋体" w:hAnsi="宋体" w:cs="宋体"/>
                <w:szCs w:val="21"/>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red"/>
              </w:rPr>
            </w:pPr>
            <w:r>
              <w:rPr>
                <w:rFonts w:hint="eastAsia" w:ascii="宋体" w:hAnsi="宋体" w:cs="宋体"/>
                <w:szCs w:val="21"/>
              </w:rPr>
              <w:t>本产品成立后，泰安银行作为本产品的管理人将根据投资组合需要，设置不同投资周期及其对应的申购赎回开放期，</w:t>
            </w:r>
            <w:r>
              <w:rPr>
                <w:rFonts w:ascii="宋体" w:hAnsi="宋体" w:cs="宋体"/>
                <w:szCs w:val="21"/>
              </w:rPr>
              <w:t>投资者可</w:t>
            </w:r>
            <w:r>
              <w:rPr>
                <w:rFonts w:hint="eastAsia" w:ascii="宋体" w:hAnsi="宋体" w:cs="宋体"/>
                <w:szCs w:val="21"/>
              </w:rPr>
              <w:t>在申购赎回开放期内</w:t>
            </w:r>
            <w:r>
              <w:rPr>
                <w:rFonts w:ascii="宋体" w:hAnsi="宋体" w:cs="宋体"/>
                <w:szCs w:val="21"/>
              </w:rPr>
              <w:t>发起</w:t>
            </w:r>
            <w:r>
              <w:rPr>
                <w:rFonts w:hint="eastAsia" w:ascii="宋体" w:hAnsi="宋体" w:cs="宋体"/>
                <w:szCs w:val="21"/>
              </w:rPr>
              <w:t>申购</w:t>
            </w:r>
            <w:r>
              <w:rPr>
                <w:rFonts w:ascii="宋体" w:hAnsi="宋体" w:cs="宋体"/>
                <w:szCs w:val="21"/>
              </w:rPr>
              <w:t>赎回操作</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1、本产品成立后根据产品实际运作情况设置开放期，投资者可在开放期内进行理财产品申购和赎回申请。</w:t>
            </w:r>
          </w:p>
          <w:p>
            <w:pPr>
              <w:widowControl/>
              <w:adjustRightInd w:val="0"/>
              <w:snapToGrid w:val="0"/>
              <w:spacing w:line="360" w:lineRule="auto"/>
              <w:jc w:val="left"/>
              <w:rPr>
                <w:rFonts w:ascii="宋体" w:hAnsi="宋体" w:cs="宋体"/>
                <w:szCs w:val="21"/>
              </w:rPr>
            </w:pPr>
            <w:r>
              <w:rPr>
                <w:rFonts w:hint="eastAsia" w:ascii="宋体" w:hAnsi="宋体" w:cs="宋体"/>
                <w:szCs w:val="21"/>
              </w:rPr>
              <w:t>2、申购赎回开放期为开放日首日8:30-开放日末日17:30。</w:t>
            </w:r>
          </w:p>
          <w:p>
            <w:pPr>
              <w:widowControl/>
              <w:adjustRightInd w:val="0"/>
              <w:snapToGrid w:val="0"/>
              <w:spacing w:line="360" w:lineRule="auto"/>
              <w:jc w:val="left"/>
              <w:rPr>
                <w:rFonts w:ascii="宋体" w:hAnsi="宋体" w:cs="宋体"/>
                <w:szCs w:val="21"/>
              </w:rPr>
            </w:pPr>
            <w:r>
              <w:rPr>
                <w:rFonts w:hint="eastAsia" w:ascii="宋体" w:hAnsi="宋体" w:cs="宋体"/>
                <w:szCs w:val="21"/>
              </w:rPr>
              <w:t>3、非开放期内，投资者无法进行理财产品的申购和赎回申请。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本产品成立后设置周期确认日，周期确认日为开放期结束后下一工作日。泰安银行</w:t>
            </w:r>
            <w:r>
              <w:rPr>
                <w:rFonts w:ascii="宋体" w:hAnsi="宋体" w:cs="宋体"/>
                <w:szCs w:val="21"/>
              </w:rPr>
              <w:t>在每个</w:t>
            </w:r>
            <w:r>
              <w:rPr>
                <w:rFonts w:hint="eastAsia" w:ascii="宋体" w:hAnsi="宋体" w:cs="宋体"/>
                <w:szCs w:val="21"/>
              </w:rPr>
              <w:t>周期</w:t>
            </w:r>
            <w:r>
              <w:rPr>
                <w:rFonts w:ascii="宋体" w:hAnsi="宋体" w:cs="宋体"/>
                <w:szCs w:val="21"/>
              </w:rPr>
              <w:t>确认日对客户申购、赎回申请是否成功进行确认。</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投资金额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个人客户投资起点金额为1万元，以1000元的整数倍递增。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认购</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ascii="宋体" w:hAnsi="宋体" w:cs="宋体"/>
                <w:szCs w:val="21"/>
              </w:rPr>
              <w:t>募集期</w:t>
            </w:r>
            <w:r>
              <w:rPr>
                <w:rFonts w:hint="eastAsia" w:ascii="宋体" w:hAnsi="宋体" w:cs="宋体"/>
                <w:szCs w:val="21"/>
              </w:rPr>
              <w:t>内投资者的</w:t>
            </w:r>
            <w:r>
              <w:rPr>
                <w:rFonts w:ascii="宋体" w:hAnsi="宋体" w:cs="宋体"/>
                <w:szCs w:val="21"/>
              </w:rPr>
              <w:t>认购申请将于产品成立日扣划投资本金并确认持有产品份额，产品份额=认购金额/1（元/份）。</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560"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申购</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1、理财产品成立后，投资者可以在开放期内进行申购交易。</w:t>
            </w:r>
          </w:p>
          <w:p>
            <w:pPr>
              <w:widowControl/>
              <w:adjustRightInd w:val="0"/>
              <w:snapToGrid w:val="0"/>
              <w:spacing w:line="360" w:lineRule="auto"/>
              <w:jc w:val="left"/>
              <w:rPr>
                <w:rFonts w:ascii="宋体" w:hAnsi="宋体" w:cs="宋体"/>
                <w:szCs w:val="21"/>
              </w:rPr>
            </w:pPr>
            <w:r>
              <w:rPr>
                <w:rFonts w:hint="eastAsia" w:ascii="宋体" w:hAnsi="宋体" w:cs="宋体"/>
                <w:szCs w:val="21"/>
              </w:rPr>
              <w:t>2、开放期内投资者的</w:t>
            </w:r>
            <w:r>
              <w:rPr>
                <w:rFonts w:ascii="宋体" w:hAnsi="宋体" w:cs="宋体"/>
                <w:szCs w:val="21"/>
              </w:rPr>
              <w:t>申购交易遵循“金额申购、未知价交易”原则，投资者申购时仅能以理财产品历史单位净值作为参考，并最终以申购申请所属投资周期对应的</w:t>
            </w:r>
            <w:r>
              <w:rPr>
                <w:rFonts w:hint="eastAsia" w:ascii="宋体" w:hAnsi="宋体" w:cs="宋体"/>
                <w:szCs w:val="21"/>
              </w:rPr>
              <w:t>周期确认日</w:t>
            </w:r>
            <w:r>
              <w:rPr>
                <w:rFonts w:hint="eastAsia" w:ascii="宋体" w:hAnsi="宋体" w:cs="宋体"/>
                <w:szCs w:val="21"/>
                <w:lang w:eastAsia="zh-CN"/>
              </w:rPr>
              <w:t>公布的前一日</w:t>
            </w:r>
            <w:r>
              <w:rPr>
                <w:rFonts w:ascii="宋体" w:hAnsi="宋体" w:cs="宋体"/>
                <w:szCs w:val="21"/>
              </w:rPr>
              <w:t>单位净值为准</w:t>
            </w:r>
            <w:r>
              <w:rPr>
                <w:rFonts w:hint="eastAsia" w:ascii="宋体" w:hAnsi="宋体" w:cs="宋体"/>
                <w:szCs w:val="21"/>
              </w:rPr>
              <w:t>。</w:t>
            </w:r>
          </w:p>
          <w:p>
            <w:pPr>
              <w:widowControl/>
              <w:adjustRightInd w:val="0"/>
              <w:snapToGrid w:val="0"/>
              <w:spacing w:line="360" w:lineRule="auto"/>
              <w:jc w:val="left"/>
              <w:rPr>
                <w:rFonts w:ascii="宋体" w:hAnsi="宋体" w:cs="宋体"/>
                <w:szCs w:val="21"/>
              </w:rPr>
            </w:pPr>
            <w:r>
              <w:rPr>
                <w:rFonts w:hint="eastAsia" w:ascii="宋体" w:hAnsi="宋体" w:cs="宋体"/>
                <w:szCs w:val="21"/>
              </w:rPr>
              <w:t>3、</w:t>
            </w:r>
            <w:r>
              <w:rPr>
                <w:rFonts w:ascii="宋体" w:hAnsi="宋体" w:cs="宋体"/>
                <w:szCs w:val="21"/>
              </w:rPr>
              <w:t>申购份额=申购金额/</w:t>
            </w:r>
            <w:r>
              <w:rPr>
                <w:rFonts w:hint="eastAsia" w:ascii="宋体" w:hAnsi="宋体" w:cs="宋体"/>
                <w:szCs w:val="21"/>
              </w:rPr>
              <w:t>本</w:t>
            </w:r>
            <w:r>
              <w:rPr>
                <w:rFonts w:ascii="宋体" w:hAnsi="宋体" w:cs="宋体"/>
                <w:szCs w:val="21"/>
              </w:rPr>
              <w:t>投资周期</w:t>
            </w:r>
            <w:r>
              <w:rPr>
                <w:rFonts w:hint="eastAsia" w:ascii="宋体" w:hAnsi="宋体" w:cs="宋体"/>
                <w:szCs w:val="21"/>
              </w:rPr>
              <w:t>确认日</w:t>
            </w:r>
            <w:r>
              <w:rPr>
                <w:rFonts w:hint="eastAsia" w:ascii="宋体" w:hAnsi="宋体" w:cs="宋体"/>
                <w:szCs w:val="21"/>
                <w:lang w:eastAsia="zh-CN"/>
              </w:rPr>
              <w:t>公布的前一日</w:t>
            </w:r>
            <w:r>
              <w:rPr>
                <w:rFonts w:ascii="宋体" w:hAnsi="宋体" w:cs="宋体"/>
                <w:szCs w:val="21"/>
              </w:rPr>
              <w:t>单位净值</w:t>
            </w:r>
            <w:r>
              <w:rPr>
                <w:rFonts w:hint="eastAsia" w:ascii="宋体" w:hAnsi="宋体" w:cs="宋体"/>
                <w:szCs w:val="21"/>
              </w:rPr>
              <w:t>（保留至2位小数）</w:t>
            </w:r>
            <w:r>
              <w:rPr>
                <w:rFonts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赎回</w:t>
            </w:r>
          </w:p>
        </w:tc>
        <w:tc>
          <w:tcPr>
            <w:tcW w:w="7120" w:type="dxa"/>
            <w:tcBorders>
              <w:top w:val="outset" w:color="auto" w:sz="6" w:space="0"/>
              <w:left w:val="nil"/>
              <w:bottom w:val="outset" w:color="auto" w:sz="6" w:space="0"/>
              <w:right w:val="outset" w:color="auto" w:sz="6" w:space="0"/>
            </w:tcBorders>
            <w:vAlign w:val="bottom"/>
          </w:tcPr>
          <w:p>
            <w:pPr>
              <w:widowControl/>
              <w:adjustRightInd w:val="0"/>
              <w:snapToGrid w:val="0"/>
              <w:spacing w:line="360" w:lineRule="auto"/>
              <w:jc w:val="left"/>
              <w:rPr>
                <w:rFonts w:ascii="宋体" w:hAnsi="宋体" w:cs="宋体"/>
                <w:szCs w:val="21"/>
              </w:rPr>
            </w:pPr>
            <w:r>
              <w:rPr>
                <w:rFonts w:hint="eastAsia" w:ascii="宋体" w:hAnsi="宋体" w:cs="宋体"/>
                <w:szCs w:val="21"/>
              </w:rPr>
              <w:t>1</w:t>
            </w:r>
            <w:r>
              <w:rPr>
                <w:rFonts w:ascii="宋体" w:hAnsi="宋体" w:cs="宋体"/>
                <w:szCs w:val="21"/>
              </w:rPr>
              <w:t>产品成立后，若投资者持有本产品份额，</w:t>
            </w:r>
            <w:r>
              <w:rPr>
                <w:rFonts w:hint="eastAsia" w:ascii="宋体" w:hAnsi="宋体" w:cs="宋体"/>
                <w:szCs w:val="21"/>
              </w:rPr>
              <w:t>在开放期内可</w:t>
            </w:r>
            <w:r>
              <w:rPr>
                <w:rFonts w:ascii="宋体" w:hAnsi="宋体" w:cs="宋体"/>
                <w:szCs w:val="21"/>
              </w:rPr>
              <w:t>提交赎回申请</w:t>
            </w:r>
            <w:r>
              <w:rPr>
                <w:rFonts w:hint="eastAsia" w:ascii="宋体" w:hAnsi="宋体" w:cs="宋体"/>
                <w:szCs w:val="21"/>
              </w:rPr>
              <w:t>（</w:t>
            </w:r>
            <w:r>
              <w:rPr>
                <w:spacing w:val="-3"/>
              </w:rPr>
              <w:t>银行早晚系统批量清算期</w:t>
            </w:r>
            <w:r>
              <w:t>间</w:t>
            </w:r>
            <w:r>
              <w:rPr>
                <w:rFonts w:hint="eastAsia"/>
              </w:rPr>
              <w:t>除外</w:t>
            </w:r>
            <w:r>
              <w:rPr>
                <w:rFonts w:hint="eastAsia" w:ascii="宋体" w:hAnsi="宋体" w:cs="宋体"/>
                <w:szCs w:val="21"/>
              </w:rPr>
              <w:t>），</w:t>
            </w:r>
            <w:r>
              <w:rPr>
                <w:rFonts w:ascii="宋体" w:hAnsi="宋体" w:cs="宋体"/>
                <w:szCs w:val="21"/>
              </w:rPr>
              <w:t>赎回申请提交后，对应理财份额实时冻结。</w:t>
            </w:r>
          </w:p>
          <w:p>
            <w:pPr>
              <w:widowControl/>
              <w:adjustRightInd w:val="0"/>
              <w:snapToGrid w:val="0"/>
              <w:spacing w:line="360" w:lineRule="auto"/>
              <w:jc w:val="left"/>
              <w:rPr>
                <w:rFonts w:ascii="宋体" w:hAnsi="宋体" w:cs="宋体"/>
                <w:szCs w:val="21"/>
              </w:rPr>
            </w:pPr>
            <w:r>
              <w:rPr>
                <w:rFonts w:hint="eastAsia" w:ascii="宋体" w:hAnsi="宋体" w:cs="宋体"/>
                <w:szCs w:val="21"/>
              </w:rPr>
              <w:t>2</w:t>
            </w:r>
            <w:r>
              <w:rPr>
                <w:rFonts w:ascii="宋体" w:hAnsi="宋体" w:cs="宋体"/>
                <w:szCs w:val="21"/>
              </w:rPr>
              <w:t>.赎回申请仅可在该申请所属投资周期</w:t>
            </w:r>
            <w:r>
              <w:rPr>
                <w:rFonts w:hint="eastAsia" w:ascii="宋体" w:hAnsi="宋体" w:cs="宋体"/>
                <w:szCs w:val="21"/>
              </w:rPr>
              <w:t>对应的开放期</w:t>
            </w:r>
            <w:r>
              <w:rPr>
                <w:rFonts w:ascii="宋体" w:hAnsi="宋体" w:cs="宋体"/>
                <w:szCs w:val="21"/>
              </w:rPr>
              <w:t>内进行撤销，撤销成功后，赎回申请对应理财份额实时解冻结。</w:t>
            </w:r>
          </w:p>
          <w:p>
            <w:pPr>
              <w:widowControl/>
              <w:adjustRightInd w:val="0"/>
              <w:snapToGrid w:val="0"/>
              <w:spacing w:line="360" w:lineRule="auto"/>
              <w:jc w:val="left"/>
              <w:rPr>
                <w:rFonts w:ascii="宋体" w:hAnsi="宋体" w:cs="宋体"/>
                <w:szCs w:val="21"/>
              </w:rPr>
            </w:pPr>
            <w:r>
              <w:rPr>
                <w:rFonts w:hint="eastAsia" w:ascii="宋体" w:hAnsi="宋体" w:cs="宋体"/>
                <w:szCs w:val="21"/>
              </w:rPr>
              <w:t>3</w:t>
            </w:r>
            <w:r>
              <w:rPr>
                <w:rFonts w:ascii="宋体" w:hAnsi="宋体" w:cs="宋体"/>
                <w:szCs w:val="21"/>
              </w:rPr>
              <w:t>.赎回交易遵循“份额赎回，未知价交易”原则，投资者仅能以本产品历史单位净值作为参考，并最终以赎回申请所属投资周期对应的</w:t>
            </w:r>
            <w:r>
              <w:rPr>
                <w:rFonts w:hint="eastAsia" w:ascii="宋体" w:hAnsi="宋体" w:cs="宋体"/>
                <w:szCs w:val="21"/>
              </w:rPr>
              <w:t>确认日</w:t>
            </w:r>
            <w:r>
              <w:rPr>
                <w:rFonts w:hint="eastAsia" w:ascii="宋体" w:hAnsi="宋体" w:cs="宋体"/>
                <w:szCs w:val="21"/>
                <w:lang w:eastAsia="zh-CN"/>
              </w:rPr>
              <w:t>公布的前一日</w:t>
            </w:r>
            <w:r>
              <w:rPr>
                <w:rFonts w:ascii="宋体" w:hAnsi="宋体" w:cs="宋体"/>
                <w:szCs w:val="21"/>
              </w:rPr>
              <w:t>单位净值为准，赎回金额=赎回份额*本投资周期</w:t>
            </w:r>
            <w:r>
              <w:rPr>
                <w:rFonts w:hint="eastAsia" w:ascii="宋体" w:hAnsi="宋体" w:cs="宋体"/>
                <w:szCs w:val="21"/>
              </w:rPr>
              <w:t>确认日</w:t>
            </w:r>
            <w:r>
              <w:rPr>
                <w:rFonts w:hint="eastAsia" w:ascii="宋体" w:hAnsi="宋体" w:cs="宋体"/>
                <w:szCs w:val="21"/>
                <w:lang w:eastAsia="zh-CN"/>
              </w:rPr>
              <w:t>公布的前一日</w:t>
            </w:r>
            <w:r>
              <w:rPr>
                <w:rFonts w:ascii="宋体" w:hAnsi="宋体" w:cs="宋体"/>
                <w:szCs w:val="21"/>
              </w:rPr>
              <w:t>单位净值。</w:t>
            </w:r>
          </w:p>
          <w:p>
            <w:pPr>
              <w:widowControl/>
              <w:adjustRightInd w:val="0"/>
              <w:snapToGrid w:val="0"/>
              <w:spacing w:line="360" w:lineRule="auto"/>
              <w:jc w:val="left"/>
              <w:rPr>
                <w:rFonts w:ascii="宋体" w:hAnsi="宋体" w:cs="宋体"/>
                <w:szCs w:val="21"/>
              </w:rPr>
            </w:pPr>
            <w:r>
              <w:rPr>
                <w:rFonts w:hint="eastAsia" w:ascii="宋体" w:hAnsi="宋体" w:cs="宋体"/>
                <w:szCs w:val="21"/>
              </w:rPr>
              <w:t>4、</w:t>
            </w:r>
            <w:r>
              <w:rPr>
                <w:rFonts w:ascii="宋体" w:hAnsi="宋体" w:cs="宋体"/>
                <w:szCs w:val="21"/>
              </w:rPr>
              <w:t>本产品赎回份额</w:t>
            </w:r>
            <w:r>
              <w:rPr>
                <w:rFonts w:hint="eastAsia" w:ascii="宋体" w:hAnsi="宋体" w:cs="宋体"/>
                <w:szCs w:val="21"/>
              </w:rPr>
              <w:t>信息详见各“募集期认购/投资周期申购要素信息表”。</w:t>
            </w:r>
          </w:p>
          <w:p>
            <w:pPr>
              <w:widowControl/>
              <w:adjustRightInd w:val="0"/>
              <w:snapToGrid w:val="0"/>
              <w:spacing w:line="360" w:lineRule="auto"/>
              <w:jc w:val="left"/>
              <w:rPr>
                <w:rFonts w:ascii="宋体" w:hAnsi="宋体" w:cs="宋体"/>
                <w:szCs w:val="21"/>
              </w:rPr>
            </w:pPr>
            <w:r>
              <w:rPr>
                <w:rFonts w:hint="eastAsia" w:ascii="宋体" w:hAnsi="宋体" w:cs="宋体"/>
                <w:szCs w:val="21"/>
              </w:rPr>
              <w:t>5、</w:t>
            </w:r>
            <w:r>
              <w:rPr>
                <w:rFonts w:ascii="宋体" w:hAnsi="宋体" w:cs="宋体"/>
                <w:szCs w:val="21"/>
              </w:rPr>
              <w:t>若部分赎回本产品后，持有本产品份额低于最低持有份额，</w:t>
            </w:r>
            <w:r>
              <w:rPr>
                <w:rFonts w:hint="eastAsia" w:ascii="宋体" w:hAnsi="宋体" w:cs="宋体"/>
                <w:szCs w:val="21"/>
              </w:rPr>
              <w:t>系统将拒绝该笔交易</w:t>
            </w:r>
            <w:r>
              <w:rPr>
                <w:rFonts w:ascii="宋体" w:hAnsi="宋体" w:cs="宋体"/>
                <w:szCs w:val="21"/>
              </w:rPr>
              <w:t>。</w:t>
            </w:r>
          </w:p>
          <w:p>
            <w:pPr>
              <w:widowControl/>
              <w:adjustRightInd w:val="0"/>
              <w:snapToGrid w:val="0"/>
              <w:spacing w:line="360" w:lineRule="auto"/>
              <w:jc w:val="left"/>
              <w:rPr>
                <w:rFonts w:ascii="宋体" w:hAnsi="宋体" w:cs="宋体"/>
                <w:szCs w:val="21"/>
              </w:rPr>
            </w:pPr>
            <w:r>
              <w:rPr>
                <w:rFonts w:hint="eastAsia" w:ascii="宋体" w:hAnsi="宋体" w:cs="宋体"/>
                <w:szCs w:val="21"/>
              </w:rPr>
              <w:t>6、</w:t>
            </w:r>
            <w:r>
              <w:rPr>
                <w:rFonts w:hint="eastAsia" w:ascii="宋体" w:hAnsi="宋体" w:cs="宋体"/>
                <w:b/>
                <w:szCs w:val="21"/>
              </w:rPr>
              <w:t>开放期</w:t>
            </w:r>
            <w:r>
              <w:rPr>
                <w:rFonts w:ascii="宋体" w:hAnsi="宋体" w:cs="宋体"/>
                <w:b/>
                <w:szCs w:val="21"/>
              </w:rPr>
              <w:t>内，若客户未提交赎回申请，则客户所持产品份额自动进入下一投资周期</w:t>
            </w:r>
            <w:r>
              <w:rPr>
                <w:rFonts w:hint="eastAsia" w:ascii="宋体" w:hAnsi="宋体" w:cs="宋体"/>
                <w:b/>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90"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巨额赎回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开放期内</w:t>
            </w:r>
            <w:r>
              <w:rPr>
                <w:rFonts w:ascii="宋体" w:hAnsi="宋体" w:cs="宋体"/>
                <w:szCs w:val="21"/>
              </w:rPr>
              <w:t>，若</w:t>
            </w:r>
            <w:r>
              <w:rPr>
                <w:rFonts w:hint="eastAsia" w:ascii="宋体" w:hAnsi="宋体" w:cs="宋体"/>
                <w:szCs w:val="21"/>
              </w:rPr>
              <w:t>本周期内</w:t>
            </w:r>
            <w:r>
              <w:rPr>
                <w:rFonts w:ascii="宋体" w:hAnsi="宋体" w:cs="宋体"/>
                <w:szCs w:val="21"/>
              </w:rPr>
              <w:t>理财产品</w:t>
            </w:r>
            <w:r>
              <w:rPr>
                <w:rFonts w:hint="eastAsia" w:ascii="宋体" w:hAnsi="宋体" w:cs="宋体"/>
                <w:szCs w:val="21"/>
              </w:rPr>
              <w:t>累计</w:t>
            </w:r>
            <w:r>
              <w:rPr>
                <w:rFonts w:ascii="宋体" w:hAnsi="宋体" w:cs="宋体"/>
                <w:szCs w:val="21"/>
              </w:rPr>
              <w:t>净赎回申请份额超过上一清算日该产品总份额</w:t>
            </w:r>
            <w:r>
              <w:rPr>
                <w:rFonts w:hint="eastAsia" w:ascii="宋体" w:hAnsi="宋体" w:cs="宋体"/>
                <w:szCs w:val="21"/>
              </w:rPr>
              <w:t>一定比例（具体比例详见“募集期认购/投资周期申购要素信息表”），</w:t>
            </w:r>
            <w:r>
              <w:rPr>
                <w:rFonts w:ascii="宋体" w:hAnsi="宋体" w:cs="宋体"/>
                <w:szCs w:val="21"/>
              </w:rPr>
              <w:t>视为巨额赎回。</w:t>
            </w:r>
            <w:r>
              <w:rPr>
                <w:rFonts w:hint="eastAsia" w:ascii="宋体" w:hAnsi="宋体" w:cs="宋体"/>
                <w:szCs w:val="21"/>
              </w:rPr>
              <w:t>出现</w:t>
            </w:r>
            <w:r>
              <w:rPr>
                <w:rFonts w:ascii="宋体" w:hAnsi="宋体" w:cs="宋体"/>
                <w:szCs w:val="21"/>
              </w:rPr>
              <w:t>巨额赎回</w:t>
            </w:r>
            <w:r>
              <w:rPr>
                <w:rFonts w:hint="eastAsia" w:ascii="宋体" w:hAnsi="宋体" w:cs="宋体"/>
                <w:szCs w:val="21"/>
              </w:rPr>
              <w:t>时</w:t>
            </w:r>
            <w:r>
              <w:rPr>
                <w:rFonts w:ascii="宋体" w:hAnsi="宋体" w:cs="宋体"/>
                <w:szCs w:val="21"/>
              </w:rPr>
              <w:t>，为保护投资者利益，避免资产变现可能导致产品净值大幅波动，</w:t>
            </w:r>
            <w:r>
              <w:rPr>
                <w:rFonts w:hint="eastAsia" w:ascii="宋体" w:hAnsi="宋体" w:cs="宋体"/>
                <w:szCs w:val="21"/>
              </w:rPr>
              <w:t>泰安</w:t>
            </w:r>
            <w:r>
              <w:rPr>
                <w:rFonts w:ascii="宋体" w:hAnsi="宋体" w:cs="宋体"/>
                <w:szCs w:val="21"/>
              </w:rPr>
              <w:t>银行有权暂停接受投资者赎回申请</w:t>
            </w:r>
            <w:r>
              <w:rPr>
                <w:rFonts w:hint="eastAsia" w:ascii="宋体" w:hAnsi="宋体" w:cs="宋体"/>
                <w:szCs w:val="21"/>
                <w:lang w:eastAsia="zh-CN"/>
              </w:rPr>
              <w:t>。</w:t>
            </w:r>
            <w:r>
              <w:rPr>
                <w:rFonts w:hint="eastAsia" w:ascii="宋体" w:hAnsi="宋体" w:cs="宋体"/>
                <w:szCs w:val="21"/>
                <w:lang w:val="zh-CN"/>
              </w:rPr>
              <w:t>投资者可通过降低赎回份额的方式尝试是否再次超过巨额赎回比例，或于本产品下一开放期重新进行赎回申请。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赎回及到期兑付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ascii="宋体" w:hAnsi="宋体" w:cs="宋体"/>
                <w:szCs w:val="21"/>
              </w:rPr>
              <w:t>1、</w:t>
            </w:r>
            <w:r>
              <w:rPr>
                <w:rFonts w:hint="eastAsia" w:ascii="宋体" w:hAnsi="宋体" w:cs="宋体"/>
                <w:b/>
                <w:szCs w:val="21"/>
              </w:rPr>
              <w:t>本理财产品存续期间不设置分红，投资者的投资资金及收益仅通过投资者发起赎回交易并经银行确认成功或本期理财产品到期的方式退出本理财产品。</w:t>
            </w:r>
          </w:p>
          <w:p>
            <w:pPr>
              <w:widowControl/>
              <w:adjustRightInd w:val="0"/>
              <w:snapToGrid w:val="0"/>
              <w:spacing w:line="360" w:lineRule="auto"/>
              <w:jc w:val="left"/>
              <w:rPr>
                <w:rFonts w:ascii="宋体" w:hAnsi="宋体" w:cs="宋体"/>
                <w:szCs w:val="21"/>
              </w:rPr>
            </w:pPr>
            <w:r>
              <w:rPr>
                <w:rFonts w:hint="eastAsia" w:ascii="宋体" w:hAnsi="宋体" w:cs="宋体"/>
                <w:szCs w:val="21"/>
              </w:rPr>
              <w:t>2、理财产品存续期内，投资者赎回申请确认成功后，赎回兑付金额将于投资者赎回申请对应的投资周期确认日后两个工作日内划转至投资者账户，遇法定节假日顺延。</w:t>
            </w:r>
          </w:p>
          <w:p>
            <w:pPr>
              <w:widowControl/>
              <w:adjustRightInd w:val="0"/>
              <w:snapToGrid w:val="0"/>
              <w:spacing w:line="360" w:lineRule="auto"/>
              <w:jc w:val="left"/>
              <w:rPr>
                <w:rFonts w:ascii="宋体" w:hAnsi="宋体" w:cs="宋体"/>
                <w:szCs w:val="21"/>
              </w:rPr>
            </w:pPr>
            <w:r>
              <w:rPr>
                <w:rFonts w:hint="eastAsia" w:ascii="宋体" w:hAnsi="宋体" w:cs="宋体"/>
                <w:szCs w:val="21"/>
              </w:rPr>
              <w:t>3、理财产品到期后，若投资者持有本理财产品份额，到期兑付金额将于到期日后两个工作日内划转至投资者账户，遇法定节假日顺延。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rPr>
            </w:pPr>
            <w:r>
              <w:rPr>
                <w:rFonts w:hint="eastAsia" w:ascii="宋体" w:hAnsi="宋体" w:cs="宋体"/>
                <w:szCs w:val="21"/>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1、单位净值为提取相关税费后的每单位理财产品份额的净资产价值，产品周期确认日、产品到期或提前终止时，按产品最新单位净值计算投资者持有份额或投资收益。</w:t>
            </w:r>
          </w:p>
          <w:p>
            <w:pPr>
              <w:widowControl/>
              <w:adjustRightInd w:val="0"/>
              <w:snapToGrid w:val="0"/>
              <w:spacing w:line="360" w:lineRule="auto"/>
              <w:jc w:val="left"/>
              <w:rPr>
                <w:rFonts w:ascii="宋体" w:hAnsi="宋体" w:cs="宋体"/>
                <w:szCs w:val="21"/>
              </w:rPr>
            </w:pPr>
            <w:r>
              <w:rPr>
                <w:rFonts w:hint="eastAsia" w:ascii="宋体" w:hAnsi="宋体" w:cs="宋体"/>
                <w:szCs w:val="21"/>
              </w:rPr>
              <w:t>2、募集期内初始单位净值为1元/份，产品存续期内根据资产组合投资运作出现盈利（亏损），单位净值将</w:t>
            </w:r>
            <w:r>
              <w:rPr>
                <w:rFonts w:hint="eastAsia" w:ascii="宋体" w:hAnsi="宋体" w:cs="宋体"/>
                <w:szCs w:val="21"/>
                <w:lang w:val="zh-CN"/>
              </w:rPr>
              <w:t>上升（或下降）。</w:t>
            </w:r>
          </w:p>
          <w:p>
            <w:pPr>
              <w:widowControl/>
              <w:adjustRightInd w:val="0"/>
              <w:snapToGrid w:val="0"/>
              <w:spacing w:line="360" w:lineRule="auto"/>
              <w:jc w:val="left"/>
              <w:rPr>
                <w:rFonts w:ascii="宋体" w:hAnsi="宋体" w:cs="宋体"/>
                <w:szCs w:val="21"/>
              </w:rPr>
            </w:pPr>
            <w:r>
              <w:rPr>
                <w:rFonts w:hint="eastAsia" w:ascii="宋体" w:hAnsi="宋体" w:cs="宋体"/>
                <w:szCs w:val="21"/>
              </w:rPr>
              <w:t>3、本产品成立后泰安银行将定期公布该产品单位净值，单位净值保留至8位小数。投资者可通过泰安银行网上银行、手机银行等渠道查询。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不同投资周期销售渠道详见“募集期认购/投资周期申购要素信息表”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lang w:val="zh-CN" w:bidi="zh-CN"/>
              </w:rPr>
            </w:pPr>
            <w:r>
              <w:rPr>
                <w:rFonts w:ascii="宋体" w:hAnsi="宋体" w:cs="宋体"/>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lang w:val="zh-CN" w:bidi="zh-CN"/>
              </w:rPr>
            </w:pPr>
            <w:r>
              <w:rPr>
                <w:rFonts w:ascii="宋体" w:hAnsi="宋体" w:cs="宋体"/>
                <w:lang w:val="zh-CN" w:bidi="zh-CN"/>
              </w:rPr>
              <w:t>0.</w:t>
            </w:r>
            <w:r>
              <w:rPr>
                <w:rFonts w:hint="eastAsia" w:ascii="宋体" w:hAnsi="宋体" w:cs="宋体"/>
                <w:lang w:val="zh-CN" w:bidi="zh-CN"/>
              </w:rPr>
              <w:t>10</w:t>
            </w:r>
            <w:r>
              <w:rPr>
                <w:rFonts w:ascii="宋体" w:hAnsi="宋体" w:cs="宋体"/>
                <w:lang w:val="zh-CN" w:bidi="zh-CN"/>
              </w:rPr>
              <w:t>%（年</w:t>
            </w:r>
            <w:r>
              <w:rPr>
                <w:rFonts w:hint="eastAsia" w:ascii="宋体" w:hAnsi="宋体" w:cs="宋体"/>
                <w:lang w:val="zh-CN" w:bidi="zh-CN"/>
              </w:rPr>
              <w:t>化</w:t>
            </w:r>
            <w:r>
              <w:rPr>
                <w:rFonts w:ascii="宋体" w:hAnsi="宋体" w:cs="宋体"/>
                <w:lang w:val="zh-CN" w:bidi="zh-CN"/>
              </w:rPr>
              <w:t>）</w:t>
            </w:r>
            <w:r>
              <w:rPr>
                <w:rFonts w:hint="eastAsia" w:ascii="宋体" w:hAnsi="宋体" w:cs="宋体"/>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lang w:val="zh-CN" w:bidi="zh-CN"/>
              </w:rPr>
            </w:pPr>
            <w:r>
              <w:rPr>
                <w:rFonts w:hint="eastAsia" w:ascii="宋体" w:hAnsi="宋体" w:cs="宋体"/>
                <w:lang w:val="zh-CN" w:bidi="zh-CN"/>
              </w:rPr>
              <w:t>托管费率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lang w:bidi="zh-CN"/>
              </w:rPr>
            </w:pPr>
            <w:r>
              <w:rPr>
                <w:rFonts w:hint="eastAsia" w:ascii="宋体" w:hAnsi="宋体" w:cs="宋体"/>
                <w:lang w:bidi="zh-CN"/>
              </w:rPr>
              <w:t>0.005%</w:t>
            </w:r>
            <w:r>
              <w:rPr>
                <w:rFonts w:ascii="宋体" w:hAnsi="宋体" w:cs="宋体"/>
                <w:lang w:val="zh-CN" w:bidi="zh-CN"/>
              </w:rPr>
              <w:t>（年</w:t>
            </w:r>
            <w:r>
              <w:rPr>
                <w:rFonts w:hint="eastAsia" w:ascii="宋体" w:hAnsi="宋体" w:cs="宋体"/>
                <w:lang w:val="zh-CN" w:bidi="zh-CN"/>
              </w:rPr>
              <w:t>化</w:t>
            </w:r>
            <w:r>
              <w:rPr>
                <w:rFonts w:ascii="宋体" w:hAnsi="宋体" w:cs="宋体"/>
                <w:lang w:val="zh-CN" w:bidi="zh-CN"/>
              </w:rPr>
              <w:t>）</w:t>
            </w:r>
            <w:r>
              <w:rPr>
                <w:rFonts w:hint="eastAsia" w:ascii="宋体" w:hAnsi="宋体" w:cs="宋体"/>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lang w:val="zh-CN" w:bidi="zh-CN"/>
              </w:rPr>
            </w:pPr>
            <w:r>
              <w:rPr>
                <w:rFonts w:hint="eastAsia" w:ascii="宋体" w:hAnsi="宋体" w:cs="宋体"/>
                <w:lang w:val="zh-CN" w:bidi="zh-CN"/>
              </w:rPr>
              <w:t>估值费率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yellow"/>
                <w:lang w:val="zh-CN" w:bidi="zh-CN"/>
              </w:rPr>
            </w:pPr>
            <w:r>
              <w:rPr>
                <w:rFonts w:hint="eastAsia" w:ascii="宋体" w:hAnsi="宋体" w:cs="宋体"/>
                <w:lang w:bidi="zh-CN"/>
              </w:rPr>
              <w:t>0.005%</w:t>
            </w:r>
            <w:r>
              <w:rPr>
                <w:rFonts w:ascii="宋体" w:hAnsi="宋体" w:cs="宋体"/>
                <w:lang w:val="zh-CN" w:bidi="zh-CN"/>
              </w:rPr>
              <w:t>（年</w:t>
            </w:r>
            <w:r>
              <w:rPr>
                <w:rFonts w:hint="eastAsia" w:ascii="宋体" w:hAnsi="宋体" w:cs="宋体"/>
                <w:lang w:val="zh-CN" w:bidi="zh-CN"/>
              </w:rPr>
              <w:t>化</w:t>
            </w:r>
            <w:r>
              <w:rPr>
                <w:rFonts w:ascii="宋体" w:hAnsi="宋体" w:cs="宋体"/>
                <w:lang w:val="zh-CN" w:bidi="zh-CN"/>
              </w:rPr>
              <w:t>）</w:t>
            </w:r>
            <w:r>
              <w:rPr>
                <w:rFonts w:hint="eastAsia" w:ascii="宋体" w:hAnsi="宋体" w:cs="宋体"/>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lang w:bidi="zh-CN"/>
              </w:rPr>
            </w:pPr>
            <w:r>
              <w:rPr>
                <w:rFonts w:ascii="宋体" w:hAnsi="宋体" w:cs="宋体"/>
                <w:kern w:val="2"/>
                <w:sz w:val="21"/>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lang w:bidi="zh-CN"/>
              </w:rPr>
            </w:pPr>
            <w:r>
              <w:rPr>
                <w:rFonts w:ascii="宋体" w:hAnsi="宋体" w:cs="宋体"/>
                <w:lang w:val="zh-CN" w:bidi="zh-CN"/>
              </w:rPr>
              <w:t>0.</w:t>
            </w:r>
            <w:r>
              <w:rPr>
                <w:rFonts w:hint="eastAsia" w:ascii="宋体" w:hAnsi="宋体" w:cs="宋体"/>
                <w:lang w:val="zh-CN" w:bidi="zh-CN"/>
              </w:rPr>
              <w:t>2</w:t>
            </w:r>
            <w:r>
              <w:rPr>
                <w:rFonts w:ascii="宋体" w:hAnsi="宋体" w:cs="宋体"/>
                <w:lang w:val="zh-CN" w:bidi="zh-CN"/>
              </w:rPr>
              <w:t>0%（年化）</w:t>
            </w:r>
            <w:r>
              <w:rPr>
                <w:rFonts w:hint="eastAsia" w:ascii="宋体" w:hAnsi="宋体" w:cs="宋体"/>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lang w:val="zh-CN" w:bidi="zh-CN"/>
              </w:rPr>
            </w:pPr>
            <w:r>
              <w:rPr>
                <w:rFonts w:ascii="宋体" w:hAnsi="宋体" w:cs="宋体"/>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lang w:val="zh-CN" w:bidi="zh-CN"/>
              </w:rPr>
            </w:pPr>
            <w:r>
              <w:rPr>
                <w:rFonts w:hint="eastAsia" w:ascii="宋体" w:hAnsi="宋体" w:cs="宋体"/>
                <w:lang w:val="zh-CN" w:bidi="zh-CN"/>
              </w:rPr>
              <w:t>泰安</w:t>
            </w:r>
            <w:r>
              <w:rPr>
                <w:rFonts w:ascii="宋体" w:hAnsi="宋体" w:cs="宋体"/>
                <w:lang w:val="zh-CN" w:bidi="zh-CN"/>
              </w:rPr>
              <w:t>银行（管理人）有权收取浮动管理费。在扣除</w:t>
            </w:r>
            <w:r>
              <w:rPr>
                <w:rFonts w:hint="eastAsia" w:ascii="宋体" w:hAnsi="宋体" w:cs="宋体"/>
                <w:lang w:val="zh-CN" w:bidi="zh-CN"/>
              </w:rPr>
              <w:t>销售手续费、</w:t>
            </w:r>
            <w:r>
              <w:rPr>
                <w:rFonts w:ascii="宋体" w:hAnsi="宋体" w:cs="宋体"/>
                <w:lang w:val="zh-CN" w:bidi="zh-CN"/>
              </w:rPr>
              <w:t>托管费、</w:t>
            </w:r>
            <w:r>
              <w:rPr>
                <w:rFonts w:hint="eastAsia" w:ascii="宋体" w:hAnsi="宋体" w:cs="宋体"/>
                <w:lang w:val="zh-CN" w:bidi="zh-CN"/>
              </w:rPr>
              <w:t>估值费、</w:t>
            </w:r>
            <w:r>
              <w:rPr>
                <w:rFonts w:ascii="宋体" w:hAnsi="宋体" w:cs="宋体"/>
                <w:lang w:val="zh-CN" w:bidi="zh-CN"/>
              </w:rPr>
              <w:t>固定管理费、产品应承担的增值税及其附加等相关税费后，产品</w:t>
            </w:r>
            <w:r>
              <w:rPr>
                <w:spacing w:val="-10"/>
              </w:rPr>
              <w:t>投资运作收益</w:t>
            </w:r>
            <w:r>
              <w:rPr>
                <w:rFonts w:ascii="宋体" w:hAnsi="宋体" w:cs="宋体"/>
                <w:lang w:val="zh-CN" w:bidi="zh-CN"/>
              </w:rPr>
              <w:t>超过业绩比较基准的部分，</w:t>
            </w:r>
            <w:r>
              <w:rPr>
                <w:rFonts w:hint="eastAsia" w:ascii="宋体" w:hAnsi="宋体" w:cs="宋体"/>
                <w:lang w:val="zh-CN" w:bidi="zh-CN"/>
              </w:rPr>
              <w:t>泰安</w:t>
            </w:r>
            <w:r>
              <w:rPr>
                <w:rFonts w:ascii="宋体" w:hAnsi="宋体" w:cs="宋体"/>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30"/>
              </w:rPr>
            </w:pPr>
            <w:r>
              <w:rPr>
                <w:rFonts w:hint="eastAsia" w:ascii="宋体" w:hAnsi="宋体" w:cs="宋体"/>
                <w:szCs w:val="30"/>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30"/>
              </w:rPr>
            </w:pPr>
            <w:r>
              <w:rPr>
                <w:rFonts w:hint="eastAsia" w:ascii="宋体" w:hAnsi="宋体" w:cs="宋体"/>
                <w:szCs w:val="30"/>
              </w:rPr>
              <w:t>按目前市场收益率水平测算，扣除相关税费（包括理财销售手续费、托管费、估值费、固定管理费等）后，如理财投资本金及收益可按时足额收回，则本理财计划周期确认日或到期可能实现“业绩比较基准”；如理财投资本金及收益未按时或足额收回，则本理财计划周期确认日或到期收益可能降低，最不利情形损失部分或全部本金。</w:t>
            </w:r>
          </w:p>
          <w:p>
            <w:pPr>
              <w:widowControl/>
              <w:adjustRightInd w:val="0"/>
              <w:snapToGrid w:val="0"/>
              <w:spacing w:line="360" w:lineRule="auto"/>
              <w:jc w:val="left"/>
              <w:rPr>
                <w:rFonts w:ascii="宋体" w:hAnsi="宋体" w:cs="宋体"/>
                <w:szCs w:val="30"/>
              </w:rPr>
            </w:pPr>
            <w:r>
              <w:rPr>
                <w:rFonts w:hint="eastAsia" w:ascii="宋体" w:hAnsi="宋体" w:cs="宋体"/>
                <w:szCs w:val="30"/>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30"/>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30"/>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30"/>
              </w:rPr>
              <w:t>工商银行股份有限公司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30"/>
              </w:rPr>
            </w:pPr>
            <w:r>
              <w:rPr>
                <w:rFonts w:hint="eastAsia" w:ascii="宋体" w:hAnsi="宋体" w:cs="宋体"/>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1"/>
              </w:numPr>
              <w:adjustRightInd w:val="0"/>
              <w:snapToGrid w:val="0"/>
              <w:spacing w:line="360" w:lineRule="auto"/>
              <w:jc w:val="left"/>
              <w:rPr>
                <w:rFonts w:ascii="宋体" w:hAnsi="宋体" w:cs="宋体"/>
                <w:szCs w:val="30"/>
              </w:rPr>
            </w:pPr>
            <w:r>
              <w:rPr>
                <w:rFonts w:hint="eastAsia" w:ascii="宋体" w:hAnsi="宋体" w:cs="宋体"/>
                <w:szCs w:val="30"/>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权益类</w:t>
            </w:r>
            <w:r>
              <w:rPr>
                <w:rFonts w:hint="eastAsia" w:ascii="宋体" w:hAnsi="宋体" w:cs="宋体"/>
                <w:szCs w:val="30"/>
                <w:lang w:eastAsia="zh-CN"/>
              </w:rPr>
              <w:t>基金</w:t>
            </w:r>
            <w:r>
              <w:rPr>
                <w:rFonts w:hint="eastAsia" w:ascii="宋体" w:hAnsi="宋体" w:cs="宋体"/>
                <w:szCs w:val="30"/>
              </w:rPr>
              <w:t>、混合类</w:t>
            </w:r>
            <w:r>
              <w:rPr>
                <w:rFonts w:hint="eastAsia" w:ascii="宋体" w:hAnsi="宋体" w:cs="宋体"/>
                <w:szCs w:val="30"/>
                <w:lang w:eastAsia="zh-CN"/>
              </w:rPr>
              <w:t>基金</w:t>
            </w:r>
            <w:r>
              <w:rPr>
                <w:rFonts w:hint="eastAsia" w:ascii="宋体" w:hAnsi="宋体" w:cs="宋体"/>
                <w:szCs w:val="30"/>
              </w:rPr>
              <w:t>等</w:t>
            </w:r>
            <w:r>
              <w:rPr>
                <w:rFonts w:hint="eastAsia" w:ascii="宋体" w:hAnsi="宋体" w:cs="宋体"/>
                <w:szCs w:val="30"/>
                <w:lang w:eastAsia="zh-CN"/>
              </w:rPr>
              <w:t>权益类、混合类</w:t>
            </w:r>
            <w:r>
              <w:rPr>
                <w:rFonts w:hint="eastAsia" w:ascii="宋体" w:hAnsi="宋体" w:cs="宋体"/>
                <w:szCs w:val="30"/>
              </w:rPr>
              <w:t>其他符合监管要求的金融资产。</w:t>
            </w:r>
          </w:p>
          <w:p>
            <w:pPr>
              <w:widowControl/>
              <w:numPr>
                <w:ilvl w:val="0"/>
                <w:numId w:val="1"/>
              </w:numPr>
              <w:adjustRightInd w:val="0"/>
              <w:snapToGrid w:val="0"/>
              <w:spacing w:line="360" w:lineRule="auto"/>
              <w:jc w:val="left"/>
              <w:rPr>
                <w:rFonts w:ascii="宋体" w:hAnsi="宋体" w:cs="宋体"/>
                <w:szCs w:val="30"/>
              </w:rPr>
            </w:pPr>
            <w:r>
              <w:rPr>
                <w:rFonts w:hint="eastAsia" w:ascii="宋体" w:hAnsi="宋体" w:cs="宋体"/>
                <w:szCs w:val="30"/>
              </w:rPr>
              <w:t>具体投向：固定收益类80~100%，权益类、混合类资产0~20%</w:t>
            </w:r>
            <w:r>
              <w:rPr>
                <w:rFonts w:ascii="宋体" w:hAnsi="宋体" w:cs="宋体"/>
                <w:szCs w:val="30"/>
              </w:rPr>
              <w:t>。</w:t>
            </w:r>
          </w:p>
          <w:p>
            <w:pPr>
              <w:widowControl/>
              <w:adjustRightInd w:val="0"/>
              <w:snapToGrid w:val="0"/>
              <w:spacing w:line="360" w:lineRule="auto"/>
              <w:jc w:val="left"/>
              <w:rPr>
                <w:rFonts w:ascii="宋体" w:hAnsi="宋体" w:cs="宋体"/>
                <w:szCs w:val="30"/>
              </w:rPr>
            </w:pPr>
            <w:r>
              <w:rPr>
                <w:rFonts w:ascii="宋体" w:hAnsi="宋体" w:cs="宋体"/>
                <w:szCs w:val="30"/>
              </w:rPr>
              <w:t>3、理财产品存续期内可能因市场的重大变化导致投资比例暂时超出上述区间，泰安银行有权根据市场情况，对本理财的投资范围、投资品种和投资比例进行调整，并尽快使投资比例恢复至上述规定区间。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30"/>
              </w:rPr>
            </w:pPr>
            <w:r>
              <w:rPr>
                <w:rFonts w:hint="eastAsia" w:ascii="宋体" w:hAnsi="宋体" w:cs="宋体"/>
                <w:szCs w:val="30"/>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30"/>
              </w:rPr>
            </w:pPr>
            <w:r>
              <w:rPr>
                <w:rFonts w:hint="eastAsia" w:ascii="宋体" w:hAnsi="宋体" w:cs="宋体"/>
                <w:szCs w:val="30"/>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rPr>
            </w:pPr>
            <w:r>
              <w:rPr>
                <w:rFonts w:ascii="宋体" w:hAnsi="宋体" w:cs="宋体"/>
                <w:b/>
                <w:bCs/>
                <w:szCs w:val="21"/>
              </w:rPr>
              <w:t>1、客户无权提前终止本期理财产品；</w:t>
            </w:r>
          </w:p>
          <w:p>
            <w:pPr>
              <w:widowControl/>
              <w:adjustRightInd w:val="0"/>
              <w:snapToGrid w:val="0"/>
              <w:spacing w:line="360" w:lineRule="auto"/>
              <w:jc w:val="left"/>
              <w:rPr>
                <w:rFonts w:ascii="宋体" w:hAnsi="宋体" w:cs="宋体"/>
                <w:szCs w:val="21"/>
              </w:rPr>
            </w:pPr>
            <w:r>
              <w:rPr>
                <w:rFonts w:ascii="宋体" w:hAnsi="宋体" w:cs="宋体"/>
                <w:b/>
                <w:bCs/>
                <w:szCs w:val="21"/>
              </w:rPr>
              <w:t>2、泰安银行有权按照实际投资情况，提前终止本期理财产品；</w:t>
            </w:r>
            <w:r>
              <w:rPr>
                <w:rFonts w:hint="eastAsia" w:ascii="宋体" w:hAnsi="宋体" w:cs="宋体"/>
                <w:szCs w:val="21"/>
              </w:rPr>
              <w:t>若本期理财产品提前终止，按照产品最新净值进行兑付；</w:t>
            </w:r>
          </w:p>
          <w:p>
            <w:pPr>
              <w:widowControl/>
              <w:adjustRightInd w:val="0"/>
              <w:snapToGrid w:val="0"/>
              <w:spacing w:line="360" w:lineRule="auto"/>
              <w:jc w:val="left"/>
              <w:rPr>
                <w:rFonts w:ascii="宋体" w:hAnsi="宋体" w:cs="宋体"/>
                <w:szCs w:val="21"/>
              </w:rPr>
            </w:pPr>
            <w:r>
              <w:rPr>
                <w:rFonts w:hint="eastAsia" w:ascii="宋体" w:hAnsi="宋体" w:cs="宋体"/>
                <w:szCs w:val="21"/>
              </w:rPr>
              <w:t>3、泰安银行实施提前终止本期理财产品的原因包括但不限于：</w:t>
            </w:r>
          </w:p>
          <w:p>
            <w:pPr>
              <w:widowControl/>
              <w:adjustRightInd w:val="0"/>
              <w:snapToGrid w:val="0"/>
              <w:spacing w:line="360" w:lineRule="auto"/>
              <w:jc w:val="left"/>
              <w:rPr>
                <w:rFonts w:ascii="宋体" w:hAnsi="宋体" w:cs="宋体"/>
                <w:szCs w:val="21"/>
              </w:rPr>
            </w:pPr>
            <w:r>
              <w:rPr>
                <w:rFonts w:hint="eastAsia" w:ascii="宋体" w:hAnsi="宋体" w:cs="宋体"/>
                <w:szCs w:val="21"/>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rPr>
            </w:pPr>
            <w:r>
              <w:rPr>
                <w:rFonts w:hint="eastAsia" w:ascii="宋体" w:hAnsi="宋体" w:cs="宋体"/>
                <w:szCs w:val="21"/>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rPr>
            </w:pPr>
            <w:r>
              <w:rPr>
                <w:rFonts w:hint="eastAsia" w:ascii="宋体" w:hAnsi="宋体" w:cs="宋体"/>
                <w:szCs w:val="21"/>
              </w:rPr>
              <w:t>4、如遇上述提前终止情况，泰安银行将在提前终止日前3个工作日在官方网站http://www.taccb.com.cn上进行公告，投资者请登录前述网站浏览和阅读相关信息；泰安银行也将通过短信平台对投资者尽到告知义务；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rPr>
            </w:pPr>
            <w:r>
              <w:rPr>
                <w:rFonts w:hint="eastAsia" w:ascii="宋体" w:hAnsi="宋体" w:cs="宋体"/>
                <w:szCs w:val="21"/>
              </w:rPr>
              <w:t>5、泰安银行将在提前终止日后2个工作日内将理财资金划入投资者指定资金账户，提前终止日至资金到账日之间不计息。</w:t>
            </w:r>
          </w:p>
        </w:tc>
      </w:tr>
    </w:tbl>
    <w:p>
      <w:pPr>
        <w:numPr>
          <w:ilvl w:val="0"/>
          <w:numId w:val="2"/>
        </w:num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交易规则</w:t>
      </w:r>
    </w:p>
    <w:p>
      <w:pPr>
        <w:adjustRightInd w:val="0"/>
        <w:snapToGrid w:val="0"/>
        <w:spacing w:line="360" w:lineRule="auto"/>
        <w:ind w:right="105" w:firstLine="413" w:firstLineChars="196"/>
        <w:rPr>
          <w:rFonts w:ascii="宋体" w:hAnsi="宋体" w:cs="宋体"/>
          <w:szCs w:val="21"/>
        </w:rPr>
      </w:pPr>
      <w:r>
        <w:rPr>
          <w:rFonts w:hint="eastAsia"/>
          <w:b/>
        </w:rPr>
        <w:t>1、产品认购：</w:t>
      </w:r>
      <w:r>
        <w:rPr>
          <w:rFonts w:hint="eastAsia"/>
        </w:rPr>
        <w:t>募集期产品单位净</w:t>
      </w:r>
      <w:r>
        <w:rPr>
          <w:rFonts w:hint="eastAsia" w:ascii="宋体" w:hAnsi="宋体" w:cs="宋体"/>
          <w:szCs w:val="30"/>
        </w:rPr>
        <w:t>值为</w:t>
      </w:r>
      <w:r>
        <w:rPr>
          <w:rFonts w:ascii="宋体" w:hAnsi="宋体" w:cs="宋体"/>
          <w:szCs w:val="21"/>
        </w:rPr>
        <w:t>1</w:t>
      </w:r>
      <w:r>
        <w:rPr>
          <w:rFonts w:hint="eastAsia" w:ascii="宋体" w:hAnsi="宋体" w:cs="宋体"/>
          <w:szCs w:val="30"/>
        </w:rPr>
        <w:t>元</w:t>
      </w:r>
      <w:r>
        <w:rPr>
          <w:rFonts w:ascii="宋体" w:hAnsi="宋体" w:cs="宋体"/>
          <w:szCs w:val="30"/>
        </w:rPr>
        <w:t>/份，认购份额=认购金额/1(元/份)。客户可在募集期内申请撤销购买</w:t>
      </w:r>
      <w:r>
        <w:rPr>
          <w:rFonts w:hint="eastAsia" w:ascii="宋体" w:hAnsi="宋体" w:cs="宋体"/>
          <w:szCs w:val="21"/>
        </w:rPr>
        <w:t>，撤销成功后，认购资金实时解冻结。</w:t>
      </w:r>
    </w:p>
    <w:p>
      <w:pPr>
        <w:adjustRightInd w:val="0"/>
        <w:snapToGrid w:val="0"/>
        <w:spacing w:line="360" w:lineRule="auto"/>
        <w:ind w:right="105" w:firstLine="413" w:firstLineChars="196"/>
        <w:rPr>
          <w:rFonts w:ascii="宋体" w:hAnsi="宋体" w:cs="宋体"/>
          <w:szCs w:val="21"/>
        </w:rPr>
      </w:pPr>
      <w:r>
        <w:rPr>
          <w:rFonts w:ascii="宋体" w:hAnsi="宋体" w:cs="宋体"/>
          <w:b/>
          <w:szCs w:val="21"/>
        </w:rPr>
        <w:t>2、产品申购：</w:t>
      </w:r>
      <w:r>
        <w:rPr>
          <w:rFonts w:hint="eastAsia" w:ascii="宋体" w:hAnsi="宋体" w:cs="宋体"/>
          <w:szCs w:val="21"/>
        </w:rPr>
        <w:t>开放期内客户可申购本产品，开放期申购交易遵循“金额申购、未知价交易”原则，投资者申购时仅能以理财产品历史单位净值作为参考，并最终</w:t>
      </w:r>
      <w:r>
        <w:rPr>
          <w:rFonts w:hint="eastAsia" w:ascii="宋体" w:hAnsi="宋体" w:cs="宋体"/>
          <w:b/>
          <w:bCs/>
          <w:szCs w:val="21"/>
        </w:rPr>
        <w:t>以申购申请所属投资周期对应的投资周期确认日</w:t>
      </w:r>
      <w:r>
        <w:rPr>
          <w:rFonts w:hint="eastAsia" w:ascii="宋体" w:hAnsi="宋体" w:cs="宋体"/>
          <w:szCs w:val="21"/>
          <w:lang w:eastAsia="zh-CN"/>
        </w:rPr>
        <w:t>公布的前一日</w:t>
      </w:r>
      <w:r>
        <w:rPr>
          <w:rFonts w:hint="eastAsia" w:ascii="宋体" w:hAnsi="宋体" w:cs="宋体"/>
          <w:b/>
          <w:bCs/>
          <w:szCs w:val="21"/>
        </w:rPr>
        <w:t>单位净值为准，申购份额</w:t>
      </w:r>
      <w:r>
        <w:rPr>
          <w:rFonts w:ascii="宋体" w:hAnsi="宋体" w:cs="宋体"/>
          <w:b/>
          <w:bCs/>
          <w:szCs w:val="21"/>
        </w:rPr>
        <w:t>=申购金额/本投资周期确认日</w:t>
      </w:r>
      <w:r>
        <w:rPr>
          <w:rFonts w:hint="eastAsia" w:ascii="宋体" w:hAnsi="宋体" w:cs="宋体"/>
          <w:szCs w:val="21"/>
          <w:lang w:eastAsia="zh-CN"/>
        </w:rPr>
        <w:t>公布的前一日</w:t>
      </w:r>
      <w:r>
        <w:rPr>
          <w:rFonts w:ascii="宋体" w:hAnsi="宋体" w:cs="宋体"/>
          <w:b/>
          <w:bCs/>
          <w:szCs w:val="21"/>
        </w:rPr>
        <w:t>单位净值。</w:t>
      </w:r>
      <w:r>
        <w:rPr>
          <w:rFonts w:hint="eastAsia" w:ascii="宋体" w:hAnsi="宋体" w:cs="宋体"/>
          <w:szCs w:val="21"/>
        </w:rPr>
        <w:t>申购申请仅可在所属投资周期对应的开放期内进行撤销，撤销成功后，申购资金实时解冻结。</w:t>
      </w:r>
    </w:p>
    <w:p>
      <w:pPr>
        <w:adjustRightInd w:val="0"/>
        <w:snapToGrid w:val="0"/>
        <w:spacing w:line="360" w:lineRule="auto"/>
        <w:ind w:right="105" w:firstLine="413" w:firstLineChars="196"/>
        <w:rPr>
          <w:rFonts w:ascii="宋体" w:hAnsi="宋体" w:cs="宋体"/>
          <w:szCs w:val="21"/>
        </w:rPr>
      </w:pPr>
      <w:r>
        <w:rPr>
          <w:rFonts w:ascii="宋体" w:hAnsi="宋体" w:cs="宋体"/>
          <w:b/>
          <w:szCs w:val="21"/>
        </w:rPr>
        <w:t>3、份额赎回：</w:t>
      </w:r>
      <w:r>
        <w:rPr>
          <w:rFonts w:hint="eastAsia" w:ascii="宋体" w:hAnsi="宋体" w:cs="宋体"/>
          <w:szCs w:val="21"/>
        </w:rPr>
        <w:t>开放</w:t>
      </w:r>
      <w:r>
        <w:rPr>
          <w:rFonts w:ascii="宋体" w:hAnsi="宋体" w:cs="宋体"/>
          <w:szCs w:val="21"/>
        </w:rPr>
        <w:t>期内，若投资者持有本产品份额，</w:t>
      </w:r>
      <w:r>
        <w:rPr>
          <w:rFonts w:hint="eastAsia" w:ascii="宋体" w:hAnsi="宋体" w:cs="宋体"/>
          <w:szCs w:val="21"/>
        </w:rPr>
        <w:t>在开放期内可</w:t>
      </w:r>
      <w:r>
        <w:rPr>
          <w:rFonts w:ascii="宋体" w:hAnsi="宋体" w:cs="宋体"/>
          <w:szCs w:val="21"/>
        </w:rPr>
        <w:t>提交赎回申请</w:t>
      </w:r>
      <w:r>
        <w:rPr>
          <w:rFonts w:hint="eastAsia" w:ascii="宋体" w:hAnsi="宋体" w:cs="宋体"/>
          <w:szCs w:val="21"/>
        </w:rPr>
        <w:t>（</w:t>
      </w:r>
      <w:r>
        <w:rPr>
          <w:rFonts w:hint="eastAsia"/>
          <w:spacing w:val="-3"/>
        </w:rPr>
        <w:t>银行早晚系统批量清算期</w:t>
      </w:r>
      <w:r>
        <w:rPr>
          <w:rFonts w:hint="eastAsia"/>
        </w:rPr>
        <w:t>间除外</w:t>
      </w:r>
      <w:r>
        <w:rPr>
          <w:rFonts w:hint="eastAsia" w:ascii="宋体" w:hAnsi="宋体" w:cs="宋体"/>
          <w:szCs w:val="21"/>
        </w:rPr>
        <w:t>），</w:t>
      </w:r>
      <w:r>
        <w:rPr>
          <w:rFonts w:ascii="宋体" w:hAnsi="宋体" w:cs="宋体"/>
          <w:szCs w:val="21"/>
        </w:rPr>
        <w:t>赎回申请提交后，对应理财份额实时冻结。赎回申请仅可在该申请所属投资周期</w:t>
      </w:r>
      <w:r>
        <w:rPr>
          <w:rFonts w:hint="eastAsia" w:ascii="宋体" w:hAnsi="宋体" w:cs="宋体"/>
          <w:szCs w:val="21"/>
        </w:rPr>
        <w:t>对应的开放期</w:t>
      </w:r>
      <w:r>
        <w:rPr>
          <w:rFonts w:ascii="宋体" w:hAnsi="宋体" w:cs="宋体"/>
          <w:szCs w:val="21"/>
        </w:rPr>
        <w:t>内进行撤销，撤销成功后，赎回申请对应理财份额实时解冻结。</w:t>
      </w:r>
      <w:r>
        <w:rPr>
          <w:rFonts w:ascii="宋体" w:hAnsi="宋体" w:cs="宋体"/>
          <w:b/>
          <w:szCs w:val="21"/>
        </w:rPr>
        <w:t>若</w:t>
      </w:r>
      <w:r>
        <w:rPr>
          <w:rFonts w:hint="eastAsia" w:ascii="宋体" w:hAnsi="宋体" w:cs="宋体"/>
          <w:b/>
          <w:szCs w:val="21"/>
        </w:rPr>
        <w:t>开放期</w:t>
      </w:r>
      <w:r>
        <w:rPr>
          <w:rFonts w:ascii="宋体" w:hAnsi="宋体" w:cs="宋体"/>
          <w:b/>
          <w:szCs w:val="21"/>
        </w:rPr>
        <w:t>客户未提交赎回申请，则客户所持产品份额自动进入下一投资周期；</w:t>
      </w:r>
      <w:r>
        <w:rPr>
          <w:rFonts w:ascii="宋体" w:hAnsi="宋体" w:cs="宋体"/>
          <w:szCs w:val="21"/>
        </w:rPr>
        <w:t>赎回交易遵循“份额赎回，未知价交易”原则，投资者仅能以本产品历史单位净值作为参考，并最终以赎回申请所对应的投资周期</w:t>
      </w:r>
      <w:r>
        <w:rPr>
          <w:rFonts w:hint="eastAsia" w:ascii="宋体" w:hAnsi="宋体" w:cs="宋体"/>
          <w:szCs w:val="21"/>
        </w:rPr>
        <w:t>确认日</w:t>
      </w:r>
      <w:r>
        <w:rPr>
          <w:rFonts w:hint="eastAsia" w:ascii="宋体" w:hAnsi="宋体" w:cs="宋体"/>
          <w:szCs w:val="21"/>
          <w:lang w:eastAsia="zh-CN"/>
        </w:rPr>
        <w:t>公布的前一日</w:t>
      </w:r>
      <w:r>
        <w:rPr>
          <w:rFonts w:ascii="宋体" w:hAnsi="宋体" w:cs="宋体"/>
          <w:szCs w:val="21"/>
        </w:rPr>
        <w:t>单位净值为准，赎回金额=赎回份额*本投资周期</w:t>
      </w:r>
      <w:r>
        <w:rPr>
          <w:rFonts w:hint="eastAsia" w:ascii="宋体" w:hAnsi="宋体" w:cs="宋体"/>
          <w:szCs w:val="21"/>
        </w:rPr>
        <w:t>确认日</w:t>
      </w:r>
      <w:r>
        <w:rPr>
          <w:rFonts w:hint="eastAsia" w:ascii="宋体" w:hAnsi="宋体" w:cs="宋体"/>
          <w:szCs w:val="21"/>
          <w:lang w:eastAsia="zh-CN"/>
        </w:rPr>
        <w:t>公布的前一日</w:t>
      </w:r>
      <w:r>
        <w:rPr>
          <w:rFonts w:ascii="宋体" w:hAnsi="宋体" w:cs="宋体"/>
          <w:szCs w:val="21"/>
        </w:rPr>
        <w:t>单位净值。</w:t>
      </w:r>
    </w:p>
    <w:p>
      <w:pPr>
        <w:adjustRightInd w:val="0"/>
        <w:snapToGrid w:val="0"/>
        <w:spacing w:line="360" w:lineRule="auto"/>
        <w:ind w:right="105" w:firstLine="413" w:firstLineChars="196"/>
        <w:rPr>
          <w:b/>
        </w:rPr>
      </w:pPr>
      <w:r>
        <w:rPr>
          <w:rFonts w:ascii="宋体" w:hAnsi="宋体" w:cs="宋体"/>
          <w:b/>
          <w:szCs w:val="21"/>
        </w:rPr>
        <w:t>4、份额确认：</w:t>
      </w:r>
      <w:r>
        <w:rPr>
          <w:rFonts w:hint="eastAsia" w:ascii="宋体" w:hAnsi="宋体" w:cs="宋体"/>
          <w:szCs w:val="21"/>
        </w:rPr>
        <w:t>募集期内购买的理财产品在产品成立日系统日启批量清算时进行资金扣划，在成立日系统日终批量清算时进行份额确认。开放期内购买及赎回的理财产品在周期确认日系统日启批量清算时进行份额确认。</w:t>
      </w:r>
      <w:r>
        <w:rPr>
          <w:rFonts w:hint="eastAsia" w:ascii="宋体" w:hAnsi="宋体" w:cs="宋体"/>
          <w:b/>
          <w:szCs w:val="21"/>
        </w:rPr>
        <w:t>投资者提交认购（申购）及赎回交易申请，仅代表泰安银行受理投资者的交易申请，该申请最终是否成功以泰安银行份额确认结果为准。</w:t>
      </w:r>
      <w:r>
        <w:rPr>
          <w:rFonts w:hint="eastAsia"/>
          <w:b/>
        </w:rPr>
        <w:t>投资者应在交易所对应的周期确认日，及时查询确认结果。</w:t>
      </w:r>
    </w:p>
    <w:p>
      <w:pPr>
        <w:adjustRightInd w:val="0"/>
        <w:snapToGrid w:val="0"/>
        <w:spacing w:line="360" w:lineRule="auto"/>
        <w:ind w:right="105" w:firstLine="413" w:firstLineChars="196"/>
        <w:rPr>
          <w:rFonts w:ascii="宋体" w:hAnsi="宋体" w:cs="宋体"/>
          <w:szCs w:val="21"/>
        </w:rPr>
      </w:pPr>
      <w:r>
        <w:rPr>
          <w:rFonts w:ascii="宋体" w:hAnsi="宋体" w:cs="宋体"/>
          <w:b/>
          <w:szCs w:val="21"/>
        </w:rPr>
        <w:t>5、募集上限：</w:t>
      </w:r>
      <w:r>
        <w:rPr>
          <w:rFonts w:hint="eastAsia" w:ascii="宋体" w:hAnsi="宋体" w:cs="宋体"/>
          <w:szCs w:val="21"/>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bCs/>
          <w:szCs w:val="21"/>
        </w:rPr>
      </w:pPr>
      <w:r>
        <w:rPr>
          <w:rFonts w:ascii="宋体" w:hAnsi="宋体" w:cs="宋体"/>
          <w:b/>
          <w:bCs/>
          <w:szCs w:val="21"/>
        </w:rPr>
        <w:t>6、巨额赎回：</w:t>
      </w:r>
      <w:r>
        <w:rPr>
          <w:rFonts w:hint="eastAsia" w:ascii="宋体" w:hAnsi="宋体" w:cs="宋体"/>
          <w:b/>
          <w:szCs w:val="21"/>
        </w:rPr>
        <w:t>开放期内</w:t>
      </w:r>
      <w:r>
        <w:rPr>
          <w:rFonts w:ascii="宋体" w:hAnsi="宋体" w:cs="宋体"/>
          <w:b/>
          <w:szCs w:val="21"/>
        </w:rPr>
        <w:t>，若</w:t>
      </w:r>
      <w:r>
        <w:rPr>
          <w:rFonts w:hint="eastAsia" w:ascii="宋体" w:hAnsi="宋体" w:cs="宋体"/>
          <w:b/>
          <w:szCs w:val="21"/>
        </w:rPr>
        <w:t>本周期内</w:t>
      </w:r>
      <w:r>
        <w:rPr>
          <w:rFonts w:ascii="宋体" w:hAnsi="宋体" w:cs="宋体"/>
          <w:b/>
          <w:szCs w:val="21"/>
        </w:rPr>
        <w:t>理财产品</w:t>
      </w:r>
      <w:r>
        <w:rPr>
          <w:rFonts w:hint="eastAsia" w:ascii="宋体" w:hAnsi="宋体" w:cs="宋体"/>
          <w:b/>
          <w:szCs w:val="21"/>
        </w:rPr>
        <w:t>累计</w:t>
      </w:r>
      <w:r>
        <w:rPr>
          <w:rFonts w:ascii="宋体" w:hAnsi="宋体" w:cs="宋体"/>
          <w:b/>
          <w:szCs w:val="21"/>
        </w:rPr>
        <w:t>净赎回申请份额超过上一清算日该产品总份额</w:t>
      </w:r>
      <w:r>
        <w:rPr>
          <w:rFonts w:hint="eastAsia" w:ascii="宋体" w:hAnsi="宋体" w:cs="宋体"/>
          <w:b/>
          <w:szCs w:val="21"/>
        </w:rPr>
        <w:t>一定比例（具体比例详见“募集期认购/投资周期申购要素信息表”），</w:t>
      </w:r>
      <w:r>
        <w:rPr>
          <w:rFonts w:ascii="宋体" w:hAnsi="宋体" w:cs="宋体"/>
          <w:b/>
          <w:szCs w:val="21"/>
        </w:rPr>
        <w:t>视为巨额赎回。</w:t>
      </w:r>
      <w:r>
        <w:rPr>
          <w:rFonts w:ascii="宋体" w:hAnsi="宋体" w:cs="宋体"/>
          <w:b/>
          <w:bCs/>
          <w:szCs w:val="21"/>
        </w:rPr>
        <w:t>。</w:t>
      </w:r>
      <w:r>
        <w:rPr>
          <w:rFonts w:hint="eastAsia" w:ascii="宋体" w:hAnsi="宋体" w:cs="宋体"/>
          <w:b/>
          <w:bCs/>
          <w:szCs w:val="21"/>
        </w:rPr>
        <w:t>发生</w:t>
      </w:r>
      <w:r>
        <w:rPr>
          <w:rFonts w:ascii="宋体" w:hAnsi="宋体" w:cs="宋体"/>
          <w:b/>
          <w:bCs/>
          <w:szCs w:val="21"/>
        </w:rPr>
        <w:t>巨额赎回时，为</w:t>
      </w:r>
      <w:r>
        <w:rPr>
          <w:rFonts w:ascii="宋体" w:hAnsi="宋体" w:cs="宋体"/>
          <w:b/>
          <w:szCs w:val="21"/>
        </w:rPr>
        <w:t>保护</w:t>
      </w:r>
      <w:r>
        <w:rPr>
          <w:rFonts w:ascii="宋体" w:hAnsi="宋体" w:cs="宋体"/>
          <w:b/>
          <w:bCs/>
          <w:szCs w:val="21"/>
        </w:rPr>
        <w:t>投资者利益，避免资产变现可能导致产品净值大幅波动，</w:t>
      </w:r>
      <w:r>
        <w:rPr>
          <w:rFonts w:hint="eastAsia" w:ascii="宋体" w:hAnsi="宋体" w:cs="宋体"/>
          <w:b/>
          <w:bCs/>
          <w:szCs w:val="21"/>
        </w:rPr>
        <w:t>泰安</w:t>
      </w:r>
      <w:r>
        <w:rPr>
          <w:rFonts w:ascii="宋体" w:hAnsi="宋体" w:cs="宋体"/>
          <w:b/>
          <w:bCs/>
          <w:szCs w:val="21"/>
        </w:rPr>
        <w:t>银行有权暂停接受投资者赎回申请，</w:t>
      </w:r>
      <w:r>
        <w:rPr>
          <w:rFonts w:hint="eastAsia" w:ascii="宋体" w:hAnsi="宋体" w:cs="宋体"/>
          <w:b/>
          <w:bCs/>
          <w:szCs w:val="21"/>
          <w:lang w:val="zh-CN"/>
        </w:rPr>
        <w:t>投资者可通过降低赎回份额的方式尝试是否再次超过巨额赎回比例，或于本产品下一开放期重新进行赎回申请。</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7</w:t>
      </w:r>
      <w:r>
        <w:rPr>
          <w:rFonts w:ascii="宋体" w:hAnsi="宋体" w:cs="宋体"/>
          <w:b/>
          <w:szCs w:val="21"/>
        </w:rPr>
        <w:t>、募集（申购开放）期间利息：</w:t>
      </w:r>
      <w:r>
        <w:rPr>
          <w:rFonts w:hint="eastAsia" w:ascii="宋体" w:hAnsi="宋体" w:cs="宋体"/>
          <w:b/>
          <w:szCs w:val="21"/>
        </w:rPr>
        <w:t>投资者投资</w:t>
      </w:r>
      <w:r>
        <w:rPr>
          <w:rFonts w:hint="eastAsia" w:ascii="宋体" w:hAnsi="宋体" w:cs="宋体"/>
          <w:bCs/>
          <w:szCs w:val="21"/>
        </w:rPr>
        <w:t>资金在投资者认购（申购）本期理财产品后即在投资者签约账户中冻结，</w:t>
      </w:r>
      <w:r>
        <w:rPr>
          <w:rFonts w:hint="eastAsia" w:ascii="宋体" w:hAnsi="宋体" w:cs="宋体"/>
          <w:b/>
          <w:szCs w:val="21"/>
        </w:rPr>
        <w:t>在产品成立（周期确认）日从投资者签约账户扣划</w:t>
      </w:r>
      <w:r>
        <w:rPr>
          <w:rFonts w:hint="eastAsia" w:ascii="宋体" w:hAnsi="宋体" w:cs="宋体"/>
          <w:bCs/>
          <w:szCs w:val="21"/>
        </w:rPr>
        <w:t>。认购（申购）受理后至产品成立（周期确认）日期间</w:t>
      </w:r>
      <w:r>
        <w:rPr>
          <w:rFonts w:hint="eastAsia" w:ascii="宋体" w:hAnsi="宋体" w:cs="宋体"/>
          <w:b/>
          <w:szCs w:val="21"/>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8</w:t>
      </w:r>
      <w:r>
        <w:rPr>
          <w:rFonts w:ascii="宋体" w:hAnsi="宋体" w:cs="宋体"/>
          <w:b/>
          <w:szCs w:val="21"/>
        </w:rPr>
        <w:t>、扣款确认：</w:t>
      </w:r>
      <w:r>
        <w:rPr>
          <w:rFonts w:hint="eastAsia" w:ascii="宋体" w:hAnsi="宋体" w:cs="宋体"/>
          <w:b/>
          <w:szCs w:val="21"/>
        </w:rPr>
        <w:t>投资者指定签约账户应保持正常状态。</w:t>
      </w:r>
      <w:r>
        <w:rPr>
          <w:rFonts w:hint="eastAsia" w:ascii="宋体" w:hAnsi="宋体" w:cs="宋体"/>
          <w:bCs/>
          <w:szCs w:val="21"/>
        </w:rPr>
        <w:t>如果客户购买风险等级较高或单笔金额较大的理财产品，客户签署理财合同的行为表明客户自愿同意购买理财产品，</w:t>
      </w:r>
      <w:r>
        <w:rPr>
          <w:rFonts w:hint="eastAsia" w:ascii="宋体" w:hAnsi="宋体" w:cs="宋体"/>
          <w:b/>
          <w:szCs w:val="21"/>
        </w:rPr>
        <w:t>我行在划款时将不再与客户进行最后确认。</w:t>
      </w:r>
    </w:p>
    <w:p>
      <w:pPr>
        <w:adjustRightInd w:val="0"/>
        <w:snapToGrid w:val="0"/>
        <w:spacing w:line="360" w:lineRule="auto"/>
        <w:ind w:right="105" w:firstLine="413" w:firstLineChars="196"/>
        <w:rPr>
          <w:rFonts w:ascii="宋体" w:hAnsi="宋体" w:cs="宋体"/>
          <w:b/>
          <w:bCs/>
          <w:szCs w:val="21"/>
        </w:rPr>
      </w:pPr>
      <w:r>
        <w:rPr>
          <w:rFonts w:hint="eastAsia" w:ascii="宋体" w:hAnsi="宋体" w:cs="宋体"/>
          <w:b/>
          <w:szCs w:val="21"/>
        </w:rPr>
        <w:t>9、资金解冻：</w:t>
      </w:r>
      <w:r>
        <w:rPr>
          <w:rFonts w:hint="eastAsia" w:ascii="宋体" w:hAnsi="宋体" w:cs="宋体"/>
          <w:szCs w:val="21"/>
        </w:rPr>
        <w:t>因出现</w:t>
      </w:r>
      <w:r>
        <w:rPr>
          <w:rFonts w:hint="eastAsia" w:ascii="宋体" w:hAnsi="宋体" w:cs="宋体"/>
          <w:b/>
          <w:bCs/>
          <w:szCs w:val="21"/>
        </w:rPr>
        <w:t>账户资金余额不足、挂失、换卡、长期不动户</w:t>
      </w:r>
      <w:r>
        <w:rPr>
          <w:rFonts w:hint="eastAsia" w:ascii="宋体" w:hAnsi="宋体" w:cs="宋体"/>
          <w:bCs/>
          <w:szCs w:val="21"/>
        </w:rPr>
        <w:t>等特殊情况或被有权机关采取</w:t>
      </w:r>
      <w:r>
        <w:rPr>
          <w:rFonts w:hint="eastAsia" w:ascii="宋体" w:hAnsi="宋体" w:cs="宋体"/>
          <w:b/>
          <w:szCs w:val="21"/>
        </w:rPr>
        <w:t>冻结、扣划、强制措施</w:t>
      </w:r>
      <w:r>
        <w:rPr>
          <w:rFonts w:hint="eastAsia" w:ascii="宋体" w:hAnsi="宋体" w:cs="宋体"/>
          <w:bCs/>
          <w:szCs w:val="21"/>
        </w:rPr>
        <w:t>等变更或异常情形，导致本期理财产品资金划转不成功的，视为</w:t>
      </w:r>
      <w:r>
        <w:rPr>
          <w:rFonts w:hint="eastAsia" w:ascii="宋体" w:hAnsi="宋体" w:cs="宋体"/>
          <w:b/>
          <w:szCs w:val="21"/>
        </w:rPr>
        <w:t>本期理财产品认购（申购）不成功，责任由投资者承担。</w:t>
      </w:r>
      <w:r>
        <w:rPr>
          <w:rFonts w:hint="eastAsia" w:ascii="宋体" w:hAnsi="宋体" w:cs="宋体"/>
          <w:szCs w:val="21"/>
        </w:rPr>
        <w:t>资金在产品成立日（周期确认）次日的2个工作日内予以解冻。</w:t>
      </w:r>
      <w:r>
        <w:rPr>
          <w:rFonts w:hint="eastAsia" w:ascii="宋体" w:hAnsi="宋体" w:cs="宋体"/>
          <w:b/>
          <w:bCs/>
          <w:szCs w:val="21"/>
        </w:rPr>
        <w:t>期间按照活期存款利率在指定账户中计息。</w:t>
      </w:r>
    </w:p>
    <w:p>
      <w:pPr>
        <w:adjustRightInd w:val="0"/>
        <w:snapToGrid w:val="0"/>
        <w:spacing w:line="360" w:lineRule="auto"/>
        <w:ind w:right="105" w:firstLine="413" w:firstLineChars="196"/>
      </w:pPr>
      <w:r>
        <w:rPr>
          <w:rFonts w:ascii="宋体" w:hAnsi="宋体" w:cs="宋体"/>
          <w:b/>
          <w:bCs/>
          <w:szCs w:val="21"/>
        </w:rPr>
        <w:t>10、投资周期：</w:t>
      </w:r>
      <w:r>
        <w:rPr>
          <w:rFonts w:hint="eastAsia" w:ascii="宋体" w:hAnsi="宋体" w:cs="宋体"/>
          <w:szCs w:val="21"/>
        </w:rPr>
        <w:t>本产品成立后泰安银行作为本产品的管理人将根据投资组合需要，设置不同投资周期及其相应的申购赎回开放期，</w:t>
      </w:r>
      <w:r>
        <w:rPr>
          <w:rFonts w:ascii="宋体" w:hAnsi="宋体" w:cs="宋体"/>
          <w:szCs w:val="21"/>
        </w:rPr>
        <w:t>投资者</w:t>
      </w:r>
      <w:r>
        <w:rPr>
          <w:rFonts w:hint="eastAsia" w:ascii="宋体" w:hAnsi="宋体" w:cs="宋体"/>
          <w:szCs w:val="21"/>
        </w:rPr>
        <w:t>在申购赎回开放期内</w:t>
      </w:r>
      <w:r>
        <w:rPr>
          <w:rFonts w:ascii="宋体" w:hAnsi="宋体" w:cs="宋体"/>
          <w:szCs w:val="21"/>
        </w:rPr>
        <w:t>可发起</w:t>
      </w:r>
      <w:r>
        <w:rPr>
          <w:rFonts w:hint="eastAsia" w:ascii="宋体" w:hAnsi="宋体" w:cs="宋体"/>
          <w:szCs w:val="21"/>
        </w:rPr>
        <w:t>申购</w:t>
      </w:r>
      <w:r>
        <w:rPr>
          <w:rFonts w:ascii="宋体" w:hAnsi="宋体" w:cs="宋体"/>
          <w:szCs w:val="21"/>
        </w:rPr>
        <w:t>赎回操作</w:t>
      </w:r>
      <w:r>
        <w:rPr>
          <w:rFonts w:hint="eastAsia" w:ascii="宋体" w:hAnsi="宋体" w:cs="宋体"/>
          <w:szCs w:val="21"/>
        </w:rPr>
        <w:t>。</w:t>
      </w:r>
    </w:p>
    <w:p>
      <w:pPr>
        <w:adjustRightInd w:val="0"/>
        <w:snapToGrid w:val="0"/>
        <w:spacing w:line="360" w:lineRule="auto"/>
        <w:ind w:right="105" w:firstLine="411" w:firstLineChars="196"/>
      </w:pPr>
      <w:r>
        <w:t>11</w:t>
      </w:r>
      <w:r>
        <w:rPr>
          <w:rFonts w:hint="eastAsia"/>
        </w:rPr>
        <w:t>、</w:t>
      </w:r>
      <w:r>
        <w:rPr>
          <w:rFonts w:hint="eastAsia"/>
          <w:lang w:eastAsia="zh-CN"/>
        </w:rPr>
        <w:t>开放期</w:t>
      </w:r>
      <w:r>
        <w:rPr>
          <w:rFonts w:hint="eastAsia"/>
        </w:rPr>
        <w:t>内的购买和赎回</w:t>
      </w:r>
    </w:p>
    <w:p>
      <w:pPr>
        <w:adjustRightInd w:val="0"/>
        <w:snapToGrid w:val="0"/>
        <w:spacing w:line="360" w:lineRule="auto"/>
        <w:ind w:right="105" w:firstLine="413" w:firstLineChars="196"/>
        <w:rPr>
          <w:b/>
        </w:rPr>
      </w:pPr>
      <w:r>
        <w:rPr>
          <w:rFonts w:hint="eastAsia"/>
          <w:b/>
        </w:rPr>
        <w:t>（</w:t>
      </w:r>
      <w:r>
        <w:rPr>
          <w:b/>
        </w:rPr>
        <w:t>1</w:t>
      </w:r>
      <w:r>
        <w:rPr>
          <w:rFonts w:hint="eastAsia"/>
          <w:b/>
        </w:rPr>
        <w:t>）投资者提交购买、赎回交易，仅代表泰安银行收到了投资者的交易申请，该购买、赎回交易最终是否成功以对应周期确认日泰安银行的确认结果为准。投资者应在交易所对应的周期确认日，及时查询确认结果。</w:t>
      </w:r>
    </w:p>
    <w:p>
      <w:pPr>
        <w:adjustRightInd w:val="0"/>
        <w:snapToGrid w:val="0"/>
        <w:spacing w:line="360" w:lineRule="auto"/>
        <w:ind w:right="105" w:firstLine="411" w:firstLineChars="196"/>
      </w:pPr>
      <w:bookmarkStart w:id="0" w:name="bookmark14"/>
      <w:r>
        <w:rPr>
          <w:rFonts w:hint="eastAsia"/>
          <w:lang w:eastAsia="zh-CN"/>
        </w:rPr>
        <w:t>（</w:t>
      </w:r>
      <w:r>
        <w:rPr>
          <w:rFonts w:hint="eastAsia"/>
          <w:lang w:val="en-US" w:eastAsia="zh-CN"/>
        </w:rPr>
        <w:t>2</w:t>
      </w:r>
      <w:r>
        <w:rPr>
          <w:rFonts w:hint="eastAsia"/>
          <w:lang w:eastAsia="zh-CN"/>
        </w:rPr>
        <w:t>）</w:t>
      </w:r>
      <w:r>
        <w:rPr>
          <w:rFonts w:hint="eastAsia"/>
        </w:rPr>
        <w:t>购买、赎回示例</w:t>
      </w:r>
      <w:bookmarkEnd w:id="0"/>
      <w:r>
        <w:rPr>
          <w:rFonts w:hint="eastAsia"/>
        </w:rPr>
        <w:t>（以7天开放期为例）</w:t>
      </w:r>
    </w:p>
    <w:p>
      <w:pPr>
        <w:adjustRightInd w:val="0"/>
        <w:snapToGrid w:val="0"/>
        <w:spacing w:line="360" w:lineRule="auto"/>
        <w:ind w:right="105" w:firstLine="411" w:firstLineChars="196"/>
      </w:pPr>
      <w:r>
        <w:rPr>
          <w:rFonts w:hint="eastAsia"/>
        </w:rPr>
        <w:t>假设：</w:t>
      </w:r>
      <w:r>
        <w:t>2021</w:t>
      </w:r>
      <w:r>
        <w:rPr>
          <w:rFonts w:hint="eastAsia"/>
        </w:rPr>
        <w:t>年</w:t>
      </w:r>
      <w:r>
        <w:t>6</w:t>
      </w:r>
      <w:r>
        <w:rPr>
          <w:rFonts w:hint="eastAsia"/>
        </w:rPr>
        <w:t>月10日和</w:t>
      </w:r>
      <w:r>
        <w:t>6</w:t>
      </w:r>
      <w:r>
        <w:rPr>
          <w:rFonts w:hint="eastAsia"/>
        </w:rPr>
        <w:t>月</w:t>
      </w:r>
      <w:r>
        <w:t>1</w:t>
      </w:r>
      <w:r>
        <w:rPr>
          <w:rFonts w:hint="eastAsia"/>
        </w:rPr>
        <w:t>7日（均为周四、工作日）为相邻两个周期确认日，周期确认日前7天为开放期，则6月10日该周期确认日对应的开放期为</w:t>
      </w:r>
      <w:r>
        <w:t>2021</w:t>
      </w:r>
      <w:r>
        <w:rPr>
          <w:rFonts w:hint="eastAsia"/>
        </w:rPr>
        <w:t>年</w:t>
      </w:r>
      <w:r>
        <w:t xml:space="preserve">6 </w:t>
      </w:r>
      <w:r>
        <w:rPr>
          <w:rFonts w:hint="eastAsia"/>
        </w:rPr>
        <w:t>月3日08</w:t>
      </w:r>
      <w:r>
        <w:t>:30</w:t>
      </w:r>
      <w:r>
        <w:rPr>
          <w:rFonts w:hint="eastAsia"/>
        </w:rPr>
        <w:t>至</w:t>
      </w:r>
      <w:r>
        <w:t>2021</w:t>
      </w:r>
      <w:r>
        <w:rPr>
          <w:rFonts w:hint="eastAsia"/>
        </w:rPr>
        <w:t>年</w:t>
      </w:r>
      <w:r>
        <w:t>6</w:t>
      </w:r>
      <w:r>
        <w:rPr>
          <w:rFonts w:hint="eastAsia"/>
        </w:rPr>
        <w:t>月</w:t>
      </w:r>
      <w:r>
        <w:t>9</w:t>
      </w:r>
      <w:r>
        <w:rPr>
          <w:rFonts w:hint="eastAsia"/>
        </w:rPr>
        <w:t>日</w:t>
      </w:r>
      <w:r>
        <w:t>17:30</w:t>
      </w:r>
      <w:r>
        <w:rPr>
          <w:rFonts w:hint="eastAsia"/>
        </w:rPr>
        <w:t>，且</w:t>
      </w:r>
      <w:r>
        <w:t>6</w:t>
      </w:r>
      <w:r>
        <w:rPr>
          <w:rFonts w:hint="eastAsia"/>
        </w:rPr>
        <w:t>月</w:t>
      </w:r>
      <w:r>
        <w:t>10</w:t>
      </w:r>
      <w:r>
        <w:rPr>
          <w:rFonts w:hint="eastAsia"/>
        </w:rPr>
        <w:t>日</w:t>
      </w:r>
      <w:r>
        <w:rPr>
          <w:rFonts w:hint="eastAsia" w:ascii="宋体" w:hAnsi="宋体" w:cs="宋体"/>
          <w:szCs w:val="21"/>
          <w:lang w:eastAsia="zh-CN"/>
        </w:rPr>
        <w:t>公布的前一日</w:t>
      </w:r>
      <w:r>
        <w:rPr>
          <w:rFonts w:hint="eastAsia"/>
        </w:rPr>
        <w:t>单位净值为</w:t>
      </w:r>
      <w:r>
        <w:t>1.012345</w:t>
      </w:r>
      <w:r>
        <w:rPr>
          <w:rFonts w:hint="eastAsia"/>
        </w:rPr>
        <w:t>元。</w:t>
      </w:r>
      <w:r>
        <w:rPr>
          <w:rFonts w:hint="eastAsia"/>
          <w:lang w:eastAsia="zh-CN"/>
        </w:rPr>
        <w:t>开放期</w:t>
      </w:r>
      <w:r>
        <w:rPr>
          <w:rFonts w:hint="eastAsia"/>
        </w:rPr>
        <w:t>6月10日08:30至6月16日17:30对应的周期确认日为6月17日。</w:t>
      </w:r>
    </w:p>
    <w:p>
      <w:pPr>
        <w:adjustRightInd w:val="0"/>
        <w:snapToGrid w:val="0"/>
        <w:spacing w:line="360" w:lineRule="auto"/>
        <w:ind w:right="105" w:firstLine="411" w:firstLineChars="196"/>
      </w:pPr>
      <w:r>
        <w:rPr>
          <w:rFonts w:hint="eastAsia"/>
        </w:rPr>
        <w:t>场景一：如客户</w:t>
      </w:r>
      <w:r>
        <w:t>2021</w:t>
      </w:r>
      <w:r>
        <w:rPr>
          <w:rFonts w:hint="eastAsia"/>
        </w:rPr>
        <w:t>年</w:t>
      </w:r>
      <w:r>
        <w:t>6</w:t>
      </w:r>
      <w:r>
        <w:rPr>
          <w:rFonts w:hint="eastAsia"/>
        </w:rPr>
        <w:t>月</w:t>
      </w:r>
      <w:r>
        <w:t>3</w:t>
      </w:r>
      <w:r>
        <w:rPr>
          <w:rFonts w:hint="eastAsia"/>
        </w:rPr>
        <w:t>日</w:t>
      </w:r>
      <w:r>
        <w:t>10:00</w:t>
      </w:r>
      <w:r>
        <w:rPr>
          <w:rFonts w:hint="eastAsia"/>
        </w:rPr>
        <w:t>购买本理财</w:t>
      </w:r>
      <w:r>
        <w:t>10</w:t>
      </w:r>
      <w:r>
        <w:rPr>
          <w:rFonts w:hint="eastAsia"/>
        </w:rPr>
        <w:t>万元，</w:t>
      </w:r>
      <w:r>
        <w:t>6</w:t>
      </w:r>
      <w:r>
        <w:rPr>
          <w:rFonts w:hint="eastAsia"/>
        </w:rPr>
        <w:t>月</w:t>
      </w:r>
      <w:r>
        <w:t>5</w:t>
      </w:r>
      <w:r>
        <w:rPr>
          <w:rFonts w:hint="eastAsia"/>
        </w:rPr>
        <w:t>日</w:t>
      </w:r>
      <w:r>
        <w:t>23:00</w:t>
      </w:r>
      <w:r>
        <w:rPr>
          <w:rFonts w:hint="eastAsia"/>
        </w:rPr>
        <w:t>赎回本理财</w:t>
      </w:r>
      <w:r>
        <w:t>2000</w:t>
      </w:r>
      <w:r>
        <w:rPr>
          <w:rFonts w:hint="eastAsia"/>
        </w:rPr>
        <w:t>份，</w:t>
      </w:r>
      <w:r>
        <w:t>6</w:t>
      </w:r>
      <w:r>
        <w:rPr>
          <w:rFonts w:hint="eastAsia"/>
        </w:rPr>
        <w:t>月</w:t>
      </w:r>
      <w:r>
        <w:t>7</w:t>
      </w:r>
      <w:r>
        <w:rPr>
          <w:rFonts w:hint="eastAsia"/>
        </w:rPr>
        <w:t>日</w:t>
      </w:r>
      <w:r>
        <w:t>16:00</w:t>
      </w:r>
      <w:r>
        <w:rPr>
          <w:rFonts w:hint="eastAsia"/>
        </w:rPr>
        <w:t>购买本理财</w:t>
      </w:r>
      <w:r>
        <w:t>2</w:t>
      </w:r>
      <w:r>
        <w:rPr>
          <w:rFonts w:hint="eastAsia"/>
        </w:rPr>
        <w:t>万元，则客户该开放期的总购买金额为</w:t>
      </w:r>
      <w:r>
        <w:t>12</w:t>
      </w:r>
      <w:r>
        <w:rPr>
          <w:rFonts w:hint="eastAsia"/>
        </w:rPr>
        <w:t>万元，总赎回份额</w:t>
      </w:r>
      <w:r>
        <w:t>2000</w:t>
      </w:r>
      <w:r>
        <w:rPr>
          <w:rFonts w:hint="eastAsia"/>
        </w:rPr>
        <w:t>份，上述交易在</w:t>
      </w:r>
      <w:r>
        <w:t>6</w:t>
      </w:r>
      <w:r>
        <w:rPr>
          <w:rFonts w:hint="eastAsia"/>
        </w:rPr>
        <w:t>月</w:t>
      </w:r>
      <w:r>
        <w:t>10</w:t>
      </w:r>
      <w:r>
        <w:rPr>
          <w:rFonts w:hint="eastAsia"/>
        </w:rPr>
        <w:t>日周期确认日当天，将以</w:t>
      </w:r>
      <w:r>
        <w:t>6</w:t>
      </w:r>
      <w:r>
        <w:rPr>
          <w:rFonts w:hint="eastAsia"/>
        </w:rPr>
        <w:t>月</w:t>
      </w:r>
      <w:r>
        <w:t>10</w:t>
      </w:r>
      <w:r>
        <w:rPr>
          <w:rFonts w:hint="eastAsia"/>
        </w:rPr>
        <w:t>日</w:t>
      </w:r>
      <w:r>
        <w:rPr>
          <w:rFonts w:hint="eastAsia" w:ascii="宋体" w:hAnsi="宋体" w:cs="宋体"/>
          <w:szCs w:val="21"/>
          <w:lang w:eastAsia="zh-CN"/>
        </w:rPr>
        <w:t>公布的前一日</w:t>
      </w:r>
      <w:r>
        <w:rPr>
          <w:rFonts w:hint="eastAsia"/>
        </w:rPr>
        <w:t>单位净值</w:t>
      </w:r>
      <w:r>
        <w:t>1.012345</w:t>
      </w:r>
      <w:r>
        <w:rPr>
          <w:rFonts w:hint="eastAsia"/>
        </w:rPr>
        <w:t>元进行确认。</w:t>
      </w:r>
    </w:p>
    <w:p>
      <w:pPr>
        <w:adjustRightInd w:val="0"/>
        <w:snapToGrid w:val="0"/>
        <w:spacing w:line="360" w:lineRule="auto"/>
        <w:ind w:right="105" w:firstLine="411" w:firstLineChars="196"/>
      </w:pPr>
      <w:r>
        <w:rPr>
          <w:rFonts w:hint="eastAsia"/>
        </w:rPr>
        <w:t>那么，上述开放期内，客户购买确认份额</w:t>
      </w:r>
      <w:r>
        <w:t>=(100000+20000)/1.012345=118536.66</w:t>
      </w:r>
      <w:r>
        <w:rPr>
          <w:rFonts w:hint="eastAsia"/>
        </w:rPr>
        <w:t>份。</w:t>
      </w:r>
    </w:p>
    <w:p>
      <w:pPr>
        <w:adjustRightInd w:val="0"/>
        <w:snapToGrid w:val="0"/>
        <w:spacing w:line="360" w:lineRule="auto"/>
        <w:ind w:right="105" w:firstLine="411" w:firstLineChars="196"/>
      </w:pPr>
      <w:r>
        <w:rPr>
          <w:rFonts w:hint="eastAsia"/>
        </w:rPr>
        <w:t>客户赎回兑付金额</w:t>
      </w:r>
      <w:r>
        <w:t>=2000X 1.012345=2024.69</w:t>
      </w:r>
      <w:r>
        <w:rPr>
          <w:rFonts w:hint="eastAsia"/>
        </w:rPr>
        <w:t>元。</w:t>
      </w:r>
    </w:p>
    <w:p>
      <w:pPr>
        <w:adjustRightInd w:val="0"/>
        <w:snapToGrid w:val="0"/>
        <w:spacing w:line="360" w:lineRule="auto"/>
        <w:ind w:right="105" w:firstLine="411" w:firstLineChars="196"/>
      </w:pPr>
      <w:r>
        <w:rPr>
          <w:rFonts w:hint="eastAsia"/>
        </w:rPr>
        <w:t>场景二：如客户</w:t>
      </w:r>
      <w:r>
        <w:t>2021</w:t>
      </w:r>
      <w:r>
        <w:rPr>
          <w:rFonts w:hint="eastAsia"/>
        </w:rPr>
        <w:t>年</w:t>
      </w:r>
      <w:r>
        <w:t>6</w:t>
      </w:r>
      <w:r>
        <w:rPr>
          <w:rFonts w:hint="eastAsia"/>
        </w:rPr>
        <w:t>月3日</w:t>
      </w:r>
      <w:r>
        <w:t>20:00</w:t>
      </w:r>
      <w:r>
        <w:rPr>
          <w:rFonts w:hint="eastAsia"/>
        </w:rPr>
        <w:t>购买本理财</w:t>
      </w:r>
      <w:r>
        <w:t>9</w:t>
      </w:r>
      <w:r>
        <w:rPr>
          <w:rFonts w:hint="eastAsia"/>
        </w:rPr>
        <w:t>万元，</w:t>
      </w:r>
      <w:r>
        <w:t>6</w:t>
      </w:r>
      <w:r>
        <w:rPr>
          <w:rFonts w:hint="eastAsia"/>
        </w:rPr>
        <w:t>月</w:t>
      </w:r>
      <w:r>
        <w:t>8</w:t>
      </w:r>
      <w:r>
        <w:rPr>
          <w:rFonts w:hint="eastAsia"/>
        </w:rPr>
        <w:t>日撤单本理财的</w:t>
      </w:r>
      <w:r>
        <w:t>9</w:t>
      </w:r>
      <w:r>
        <w:rPr>
          <w:rFonts w:hint="eastAsia"/>
        </w:rPr>
        <w:t>万元购买申请，</w:t>
      </w:r>
      <w:r>
        <w:t>6</w:t>
      </w:r>
      <w:r>
        <w:rPr>
          <w:rFonts w:hint="eastAsia"/>
        </w:rPr>
        <w:t>月</w:t>
      </w:r>
      <w:r>
        <w:t>9</w:t>
      </w:r>
      <w:r>
        <w:rPr>
          <w:rFonts w:hint="eastAsia"/>
        </w:rPr>
        <w:t>日</w:t>
      </w:r>
      <w:r>
        <w:t>15:00</w:t>
      </w:r>
      <w:r>
        <w:rPr>
          <w:rFonts w:hint="eastAsia"/>
        </w:rPr>
        <w:t>赎回本理财</w:t>
      </w:r>
      <w:r>
        <w:t>5</w:t>
      </w:r>
      <w:r>
        <w:rPr>
          <w:rFonts w:hint="eastAsia"/>
        </w:rPr>
        <w:t>万份，</w:t>
      </w:r>
      <w:r>
        <w:t>6</w:t>
      </w:r>
      <w:r>
        <w:rPr>
          <w:rFonts w:hint="eastAsia"/>
        </w:rPr>
        <w:t>月10日08</w:t>
      </w:r>
      <w:r>
        <w:t>:30</w:t>
      </w:r>
      <w:r>
        <w:rPr>
          <w:rFonts w:hint="eastAsia"/>
        </w:rPr>
        <w:t>赎回本理财</w:t>
      </w:r>
      <w:r>
        <w:t>3</w:t>
      </w:r>
      <w:r>
        <w:rPr>
          <w:rFonts w:hint="eastAsia"/>
        </w:rPr>
        <w:t>万份，则客户该开放期内的总购买金额为</w:t>
      </w:r>
      <w:r>
        <w:t>0,</w:t>
      </w:r>
      <w:r>
        <w:rPr>
          <w:rFonts w:hint="eastAsia"/>
        </w:rPr>
        <w:t>总赎回份额</w:t>
      </w:r>
      <w:r>
        <w:t>5</w:t>
      </w:r>
      <w:r>
        <w:rPr>
          <w:rFonts w:hint="eastAsia"/>
        </w:rPr>
        <w:t>万份（第二笔</w:t>
      </w:r>
      <w:r>
        <w:t>3</w:t>
      </w:r>
      <w:r>
        <w:rPr>
          <w:rFonts w:hint="eastAsia"/>
        </w:rPr>
        <w:t>万份的赎回归属下一个开放期，在6月17日周期确认日进行确认），上述交易在</w:t>
      </w:r>
      <w:r>
        <w:t>6</w:t>
      </w:r>
      <w:r>
        <w:rPr>
          <w:rFonts w:hint="eastAsia"/>
        </w:rPr>
        <w:t>月</w:t>
      </w:r>
      <w:r>
        <w:t>10</w:t>
      </w:r>
      <w:r>
        <w:rPr>
          <w:rFonts w:hint="eastAsia"/>
        </w:rPr>
        <w:t>日周期确认日当天，将以</w:t>
      </w:r>
      <w:r>
        <w:t>6</w:t>
      </w:r>
      <w:r>
        <w:rPr>
          <w:rFonts w:hint="eastAsia"/>
        </w:rPr>
        <w:t>月</w:t>
      </w:r>
      <w:r>
        <w:t>10</w:t>
      </w:r>
      <w:r>
        <w:rPr>
          <w:rFonts w:hint="eastAsia"/>
        </w:rPr>
        <w:t>日</w:t>
      </w:r>
      <w:r>
        <w:rPr>
          <w:rFonts w:hint="eastAsia" w:ascii="宋体" w:hAnsi="宋体" w:cs="宋体"/>
          <w:szCs w:val="21"/>
          <w:lang w:eastAsia="zh-CN"/>
        </w:rPr>
        <w:t>公布的前一日</w:t>
      </w:r>
      <w:r>
        <w:rPr>
          <w:rFonts w:hint="eastAsia"/>
        </w:rPr>
        <w:t>单位净值</w:t>
      </w:r>
      <w:r>
        <w:t>1.012345</w:t>
      </w:r>
      <w:r>
        <w:rPr>
          <w:rFonts w:hint="eastAsia"/>
        </w:rPr>
        <w:t>元进行确认。</w:t>
      </w:r>
    </w:p>
    <w:p>
      <w:pPr>
        <w:adjustRightInd w:val="0"/>
        <w:snapToGrid w:val="0"/>
        <w:spacing w:line="360" w:lineRule="auto"/>
        <w:ind w:right="105" w:firstLine="411" w:firstLineChars="196"/>
      </w:pPr>
      <w:r>
        <w:rPr>
          <w:rFonts w:hint="eastAsia"/>
        </w:rPr>
        <w:t>那么，上述开放期内，客户购买确认份额</w:t>
      </w:r>
      <w:r>
        <w:t>=0/1.0122345=0</w:t>
      </w:r>
      <w:r>
        <w:rPr>
          <w:rFonts w:hint="eastAsia"/>
        </w:rPr>
        <w:t>份。</w:t>
      </w:r>
    </w:p>
    <w:p>
      <w:pPr>
        <w:adjustRightInd w:val="0"/>
        <w:snapToGrid w:val="0"/>
        <w:spacing w:line="360" w:lineRule="auto"/>
        <w:ind w:right="105" w:firstLine="411" w:firstLineChars="196"/>
      </w:pPr>
      <w:r>
        <w:rPr>
          <w:rFonts w:hint="eastAsia"/>
        </w:rPr>
        <w:t>客户赎回兑付金额</w:t>
      </w:r>
      <w:r>
        <w:t>=50000X 1.012345=50617.25</w:t>
      </w:r>
      <w:r>
        <w:rPr>
          <w:rFonts w:hint="eastAsia"/>
        </w:rPr>
        <w:t>元。</w:t>
      </w:r>
    </w:p>
    <w:p>
      <w:pPr>
        <w:adjustRightInd w:val="0"/>
        <w:snapToGrid w:val="0"/>
        <w:spacing w:line="360" w:lineRule="auto"/>
        <w:ind w:right="105" w:firstLine="411" w:firstLineChars="196"/>
      </w:pPr>
      <w:bookmarkStart w:id="1" w:name="bookmark15"/>
      <w:r>
        <w:t>(</w:t>
      </w:r>
      <w:r>
        <w:rPr>
          <w:rFonts w:hint="eastAsia"/>
        </w:rPr>
        <w:t>上述示例采用假设数据计算，并不代表投资者实际可获得的份额和金额，投资须谨慎）</w:t>
      </w:r>
      <w:bookmarkEnd w:id="1"/>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三、投资收益分配及说明</w:t>
      </w:r>
    </w:p>
    <w:p>
      <w:pPr>
        <w:adjustRightInd w:val="0"/>
        <w:snapToGrid w:val="0"/>
        <w:spacing w:line="360" w:lineRule="auto"/>
        <w:ind w:right="105" w:firstLine="411" w:firstLineChars="196"/>
        <w:rPr>
          <w:rFonts w:ascii="宋体" w:hAnsi="宋体" w:cs="宋体"/>
          <w:b/>
          <w:bCs/>
          <w:szCs w:val="21"/>
        </w:rPr>
      </w:pPr>
      <w:r>
        <w:rPr>
          <w:rFonts w:hint="eastAsia" w:ascii="宋体" w:hAnsi="宋体" w:cs="宋体"/>
          <w:szCs w:val="21"/>
        </w:rPr>
        <w:t>1、</w:t>
      </w:r>
      <w:r>
        <w:rPr>
          <w:rFonts w:hint="eastAsia" w:ascii="宋体" w:hAnsi="宋体" w:cs="宋体"/>
          <w:b/>
          <w:bCs/>
          <w:szCs w:val="21"/>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本期理财产品投资者所能获得的最终收益以银行向投资者实际支付的金额为准。</w:t>
      </w:r>
    </w:p>
    <w:p>
      <w:pPr>
        <w:adjustRightInd w:val="0"/>
        <w:snapToGrid w:val="0"/>
        <w:spacing w:line="360" w:lineRule="auto"/>
        <w:ind w:right="105" w:firstLine="411" w:firstLineChars="196"/>
        <w:rPr>
          <w:spacing w:val="-6"/>
        </w:rPr>
      </w:pPr>
      <w:r>
        <w:rPr>
          <w:rFonts w:hint="eastAsia" w:ascii="宋体" w:hAnsi="宋体" w:cs="宋体"/>
          <w:szCs w:val="21"/>
        </w:rPr>
        <w:t>2、本期理财产品单位净值及份额的测算：</w:t>
      </w:r>
      <w:r>
        <w:rPr>
          <w:rFonts w:hint="eastAsia" w:ascii="宋体" w:hAnsi="宋体" w:cs="宋体"/>
          <w:b/>
          <w:bCs/>
          <w:szCs w:val="21"/>
        </w:rPr>
        <w:t>本期理财产品以单位净值报价，单位净值=本理财产品资产总净值÷本理财产品总份额。</w:t>
      </w:r>
      <w:r>
        <w:rPr>
          <w:rFonts w:hint="eastAsia" w:ascii="宋体" w:hAnsi="宋体" w:cs="宋体"/>
          <w:szCs w:val="21"/>
        </w:rPr>
        <w:t>其中，总净值为扣除包括但不限于销售手续费、托管费、估值费、固定管理费、浮动管理费等相关费用后的本理财产品资产市值。本理财产品单位净值根据</w:t>
      </w:r>
      <w:r>
        <w:rPr>
          <w:rFonts w:hint="eastAsia"/>
          <w:spacing w:val="-11"/>
        </w:rPr>
        <w:t>泰安银行</w:t>
      </w:r>
      <w:r>
        <w:rPr>
          <w:spacing w:val="-6"/>
        </w:rPr>
        <w:t>实际投资运作的情况变化。</w:t>
      </w:r>
    </w:p>
    <w:p>
      <w:pPr>
        <w:adjustRightInd w:val="0"/>
        <w:snapToGrid w:val="0"/>
        <w:spacing w:line="360" w:lineRule="auto"/>
        <w:ind w:right="105" w:firstLine="413" w:firstLineChars="196"/>
        <w:rPr>
          <w:rFonts w:ascii="宋体" w:hAnsi="宋体" w:cs="宋体"/>
          <w:szCs w:val="21"/>
        </w:rPr>
      </w:pPr>
      <w:r>
        <w:rPr>
          <w:rFonts w:hint="eastAsia" w:ascii="宋体" w:hAnsi="宋体" w:cs="宋体"/>
          <w:b/>
          <w:bCs/>
          <w:szCs w:val="21"/>
        </w:rPr>
        <w:t>认购(申购)份额=认购（申购）金额/单位净值</w:t>
      </w:r>
      <w:r>
        <w:rPr>
          <w:rFonts w:hint="eastAsia" w:ascii="宋体" w:hAnsi="宋体" w:cs="宋体"/>
          <w:szCs w:val="21"/>
        </w:rPr>
        <w:t>，认购份额保留至0.01份理财产品份额，小数点后两位以下四舍五入。</w:t>
      </w:r>
    </w:p>
    <w:p>
      <w:pPr>
        <w:adjustRightInd w:val="0"/>
        <w:snapToGrid w:val="0"/>
        <w:spacing w:line="360" w:lineRule="auto"/>
        <w:ind w:right="105" w:firstLine="413" w:firstLineChars="196"/>
        <w:rPr>
          <w:rFonts w:ascii="宋体" w:hAnsi="宋体" w:cs="宋体"/>
          <w:b/>
          <w:szCs w:val="21"/>
        </w:rPr>
      </w:pPr>
      <w:r>
        <w:rPr>
          <w:rFonts w:ascii="宋体" w:hAnsi="宋体" w:cs="宋体"/>
          <w:b/>
          <w:szCs w:val="21"/>
        </w:rPr>
        <w:t>赎回金额=赎回份额*投资周期</w:t>
      </w:r>
      <w:r>
        <w:rPr>
          <w:rFonts w:hint="eastAsia" w:ascii="宋体" w:hAnsi="宋体" w:cs="宋体"/>
          <w:b/>
          <w:szCs w:val="21"/>
        </w:rPr>
        <w:t>确认日</w:t>
      </w:r>
      <w:r>
        <w:rPr>
          <w:rFonts w:hint="eastAsia" w:ascii="宋体" w:hAnsi="宋体" w:cs="宋体"/>
          <w:szCs w:val="21"/>
          <w:lang w:eastAsia="zh-CN"/>
        </w:rPr>
        <w:t>公布的前一日</w:t>
      </w:r>
      <w:r>
        <w:rPr>
          <w:rFonts w:ascii="宋体" w:hAnsi="宋体" w:cs="宋体"/>
          <w:b/>
          <w:szCs w:val="21"/>
        </w:rPr>
        <w:t>单位净值</w:t>
      </w:r>
      <w:r>
        <w:rPr>
          <w:rFonts w:hint="eastAsia" w:ascii="宋体" w:hAnsi="宋体" w:cs="宋体"/>
          <w:b/>
          <w:szCs w:val="21"/>
        </w:rPr>
        <w:t>，</w:t>
      </w:r>
      <w:r>
        <w:rPr>
          <w:rFonts w:hint="eastAsia" w:ascii="宋体" w:hAnsi="宋体" w:cs="宋体"/>
          <w:szCs w:val="21"/>
        </w:rPr>
        <w:t>赎回金额保留至0.01份理财产品金额，小数点后两位以下四舍五入。</w:t>
      </w:r>
    </w:p>
    <w:p>
      <w:pPr>
        <w:adjustRightInd w:val="0"/>
        <w:snapToGrid w:val="0"/>
        <w:spacing w:line="360" w:lineRule="auto"/>
        <w:ind w:right="105" w:firstLine="411" w:firstLineChars="196"/>
        <w:rPr>
          <w:rFonts w:ascii="宋体" w:hAnsi="宋体" w:cs="宋体"/>
          <w:szCs w:val="21"/>
          <w:lang w:val="zh-CN"/>
        </w:rPr>
      </w:pPr>
      <w:r>
        <w:rPr>
          <w:rFonts w:hint="eastAsia" w:ascii="宋体" w:hAnsi="宋体" w:cs="宋体"/>
          <w:szCs w:val="21"/>
        </w:rPr>
        <w:t>3、</w:t>
      </w:r>
      <w:r>
        <w:rPr>
          <w:rFonts w:hint="eastAsia" w:ascii="宋体" w:hAnsi="宋体" w:cs="宋体"/>
          <w:szCs w:val="21"/>
          <w:lang w:val="zh-CN"/>
        </w:rPr>
        <w:t>投资者理财产品市值及收益的测算：</w:t>
      </w:r>
    </w:p>
    <w:p>
      <w:pPr>
        <w:adjustRightInd w:val="0"/>
        <w:snapToGrid w:val="0"/>
        <w:spacing w:line="360" w:lineRule="auto"/>
        <w:ind w:right="105" w:firstLine="411" w:firstLineChars="196"/>
        <w:rPr>
          <w:rFonts w:ascii="宋体" w:hAnsi="宋体" w:cs="宋体"/>
          <w:szCs w:val="21"/>
          <w:lang w:val="zh-CN"/>
        </w:rPr>
      </w:pPr>
      <w:r>
        <w:rPr>
          <w:rFonts w:hint="eastAsia" w:ascii="宋体" w:hAnsi="宋体" w:cs="宋体"/>
          <w:szCs w:val="21"/>
          <w:lang w:val="zh-CN"/>
        </w:rPr>
        <w:t>（1）本期理财产品为非保本理财产品，</w:t>
      </w:r>
      <w:r>
        <w:rPr>
          <w:rFonts w:hint="eastAsia" w:ascii="宋体" w:hAnsi="宋体" w:cs="宋体"/>
          <w:b/>
          <w:bCs/>
          <w:szCs w:val="21"/>
          <w:lang w:val="zh-CN"/>
        </w:rPr>
        <w:t>投资者的投资收益是所持理财份额对应的产品市值扣除对应投资本金的余额。投资者的理财产品市值=持有理财产品总份额×单位净值</w:t>
      </w:r>
      <w:r>
        <w:rPr>
          <w:rFonts w:hint="eastAsia" w:ascii="宋体" w:hAnsi="宋体" w:cs="宋体"/>
          <w:szCs w:val="21"/>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lang w:val="zh-CN"/>
        </w:rPr>
      </w:pPr>
      <w:r>
        <w:rPr>
          <w:rFonts w:hint="eastAsia" w:ascii="宋体" w:hAnsi="宋体" w:cs="宋体"/>
          <w:szCs w:val="21"/>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lang w:val="zh-CN"/>
        </w:rPr>
      </w:pPr>
      <w:bookmarkStart w:id="2" w:name="bookmark22"/>
      <w:r>
        <w:rPr>
          <w:rFonts w:hint="eastAsia" w:ascii="宋体" w:hAnsi="宋体" w:cs="宋体"/>
          <w:szCs w:val="21"/>
          <w:lang w:val="zh-CN"/>
        </w:rPr>
        <w:t>（2）</w:t>
      </w:r>
      <w:r>
        <w:rPr>
          <w:rFonts w:ascii="宋体" w:hAnsi="宋体" w:cs="宋体"/>
          <w:szCs w:val="21"/>
          <w:lang w:val="zh-CN"/>
        </w:rPr>
        <w:t>投资者理财市值及收益测算示例：</w:t>
      </w:r>
      <w:bookmarkEnd w:id="2"/>
    </w:p>
    <w:p>
      <w:pPr>
        <w:adjustRightInd w:val="0"/>
        <w:snapToGrid w:val="0"/>
        <w:spacing w:line="360" w:lineRule="auto"/>
        <w:ind w:right="105" w:firstLine="411" w:firstLineChars="196"/>
        <w:rPr>
          <w:rFonts w:ascii="宋体" w:hAnsi="宋体" w:cs="宋体"/>
          <w:szCs w:val="21"/>
          <w:lang w:val="zh-CN"/>
        </w:rPr>
      </w:pPr>
      <w:r>
        <w:rPr>
          <w:rFonts w:ascii="宋体" w:hAnsi="宋体" w:cs="宋体"/>
          <w:szCs w:val="21"/>
          <w:lang w:val="zh-CN"/>
        </w:rPr>
        <w:t>假设：2021年6月</w:t>
      </w:r>
      <w:r>
        <w:rPr>
          <w:rFonts w:hint="eastAsia" w:ascii="宋体" w:hAnsi="宋体" w:cs="宋体"/>
          <w:szCs w:val="21"/>
          <w:lang w:val="zh-CN"/>
        </w:rPr>
        <w:t>3</w:t>
      </w:r>
      <w:r>
        <w:rPr>
          <w:rFonts w:ascii="宋体" w:hAnsi="宋体" w:cs="宋体"/>
          <w:szCs w:val="21"/>
          <w:lang w:val="zh-CN"/>
        </w:rPr>
        <w:t>日、6月</w:t>
      </w:r>
      <w:r>
        <w:rPr>
          <w:rFonts w:hint="eastAsia" w:ascii="宋体" w:hAnsi="宋体" w:cs="宋体"/>
          <w:szCs w:val="21"/>
          <w:lang w:val="zh-CN"/>
        </w:rPr>
        <w:t>10</w:t>
      </w:r>
      <w:r>
        <w:rPr>
          <w:rFonts w:ascii="宋体" w:hAnsi="宋体" w:cs="宋体"/>
          <w:szCs w:val="21"/>
          <w:lang w:val="zh-CN"/>
        </w:rPr>
        <w:t>日（均为周四、工作日）为该产品的两个相邻清算日，投资者在20</w:t>
      </w:r>
      <w:r>
        <w:rPr>
          <w:rFonts w:hint="eastAsia" w:ascii="宋体" w:hAnsi="宋体" w:cs="宋体"/>
          <w:szCs w:val="21"/>
          <w:lang w:val="zh-CN"/>
        </w:rPr>
        <w:t>21</w:t>
      </w:r>
      <w:r>
        <w:rPr>
          <w:rFonts w:ascii="宋体" w:hAnsi="宋体" w:cs="宋体"/>
          <w:szCs w:val="21"/>
          <w:lang w:val="zh-CN"/>
        </w:rPr>
        <w:t>年6月</w:t>
      </w:r>
      <w:r>
        <w:rPr>
          <w:rFonts w:hint="eastAsia" w:ascii="宋体" w:hAnsi="宋体" w:cs="宋体"/>
          <w:szCs w:val="21"/>
          <w:lang w:val="zh-CN"/>
        </w:rPr>
        <w:t>3</w:t>
      </w:r>
      <w:r>
        <w:rPr>
          <w:rFonts w:ascii="宋体" w:hAnsi="宋体" w:cs="宋体"/>
          <w:szCs w:val="21"/>
          <w:lang w:val="zh-CN"/>
        </w:rPr>
        <w:t>日系统登记的己持有产品份额5万份，2021年6月</w:t>
      </w:r>
      <w:r>
        <w:rPr>
          <w:rFonts w:hint="eastAsia" w:ascii="宋体" w:hAnsi="宋体" w:cs="宋体"/>
          <w:szCs w:val="21"/>
          <w:lang w:val="zh-CN"/>
        </w:rPr>
        <w:t>3</w:t>
      </w:r>
      <w:r>
        <w:rPr>
          <w:rFonts w:ascii="宋体" w:hAnsi="宋体" w:cs="宋体"/>
          <w:szCs w:val="21"/>
          <w:lang w:val="zh-CN"/>
        </w:rPr>
        <w:t>日泰安银行</w:t>
      </w:r>
      <w:r>
        <w:rPr>
          <w:rFonts w:hint="eastAsia" w:ascii="宋体" w:hAnsi="宋体" w:cs="宋体"/>
          <w:szCs w:val="21"/>
          <w:lang w:eastAsia="zh-CN"/>
        </w:rPr>
        <w:t>公布的前一日</w:t>
      </w:r>
      <w:r>
        <w:rPr>
          <w:rFonts w:ascii="宋体" w:hAnsi="宋体" w:cs="宋体"/>
          <w:szCs w:val="21"/>
          <w:lang w:val="zh-CN"/>
        </w:rPr>
        <w:t>产品单位净值为1.000000元/ 份。则截止2021年6月</w:t>
      </w:r>
      <w:r>
        <w:rPr>
          <w:rFonts w:hint="eastAsia" w:ascii="宋体" w:hAnsi="宋体" w:cs="宋体"/>
          <w:szCs w:val="21"/>
          <w:lang w:val="zh-CN"/>
        </w:rPr>
        <w:t>3</w:t>
      </w:r>
      <w:r>
        <w:rPr>
          <w:rFonts w:ascii="宋体" w:hAnsi="宋体" w:cs="宋体"/>
          <w:szCs w:val="21"/>
          <w:lang w:val="zh-CN"/>
        </w:rPr>
        <w:t>日，该投资者持有理财的产品市值为50000</w:t>
      </w:r>
      <w:r>
        <w:t>X</w:t>
      </w:r>
      <w:r>
        <w:rPr>
          <w:rFonts w:ascii="宋体" w:hAnsi="宋体" w:cs="宋体"/>
          <w:szCs w:val="21"/>
          <w:lang w:val="zh-CN"/>
        </w:rPr>
        <w:t>1.000000=50000.00元。</w:t>
      </w:r>
    </w:p>
    <w:p>
      <w:pPr>
        <w:adjustRightInd w:val="0"/>
        <w:snapToGrid w:val="0"/>
        <w:spacing w:line="360" w:lineRule="auto"/>
        <w:ind w:right="105" w:firstLine="411" w:firstLineChars="196"/>
        <w:rPr>
          <w:rFonts w:ascii="宋体" w:hAnsi="宋体" w:cs="宋体"/>
          <w:szCs w:val="21"/>
          <w:lang w:val="zh-CN"/>
        </w:rPr>
      </w:pPr>
      <w:r>
        <w:rPr>
          <w:rFonts w:ascii="宋体" w:hAnsi="宋体" w:cs="宋体"/>
          <w:szCs w:val="21"/>
          <w:lang w:val="zh-CN"/>
        </w:rPr>
        <w:t>场景一：如该投资者后续没有交易，持有份额不变，在2021年6月</w:t>
      </w:r>
      <w:r>
        <w:rPr>
          <w:rFonts w:hint="eastAsia" w:ascii="宋体" w:hAnsi="宋体" w:cs="宋体"/>
          <w:szCs w:val="21"/>
          <w:lang w:val="zh-CN"/>
        </w:rPr>
        <w:t>10</w:t>
      </w:r>
      <w:r>
        <w:rPr>
          <w:rFonts w:ascii="宋体" w:hAnsi="宋体" w:cs="宋体"/>
          <w:szCs w:val="21"/>
          <w:lang w:val="zh-CN"/>
        </w:rPr>
        <w:t>日泰安银行发</w:t>
      </w:r>
      <w:r>
        <w:rPr>
          <w:rFonts w:hint="eastAsia" w:ascii="宋体" w:hAnsi="宋体" w:cs="宋体"/>
          <w:szCs w:val="21"/>
          <w:lang w:eastAsia="zh-CN"/>
        </w:rPr>
        <w:t>公布的前一日</w:t>
      </w:r>
      <w:r>
        <w:rPr>
          <w:rFonts w:ascii="宋体" w:hAnsi="宋体" w:cs="宋体"/>
          <w:szCs w:val="21"/>
          <w:lang w:val="zh-CN"/>
        </w:rPr>
        <w:t>产品单位净值 为1.001122元/份，则截止2021年6月1</w:t>
      </w:r>
      <w:r>
        <w:rPr>
          <w:rFonts w:hint="eastAsia" w:ascii="宋体" w:hAnsi="宋体" w:cs="宋体"/>
          <w:szCs w:val="21"/>
          <w:lang w:val="zh-CN"/>
        </w:rPr>
        <w:t>0</w:t>
      </w:r>
      <w:r>
        <w:rPr>
          <w:rFonts w:ascii="宋体" w:hAnsi="宋体" w:cs="宋体"/>
          <w:szCs w:val="21"/>
          <w:lang w:val="zh-CN"/>
        </w:rPr>
        <w:t>日，该投资者持有理财的产品市值为50000</w:t>
      </w:r>
      <w:r>
        <w:t>X</w:t>
      </w:r>
      <w:r>
        <w:rPr>
          <w:rFonts w:ascii="宋体" w:hAnsi="宋体" w:cs="宋体"/>
          <w:szCs w:val="21"/>
          <w:lang w:val="zh-CN"/>
        </w:rPr>
        <w:t>1.001122=50056.10 元。该投资者在最近一个投资周期内的账面理财收益是50056.10-50000.00=56.10元（盈利）。</w:t>
      </w:r>
    </w:p>
    <w:p>
      <w:pPr>
        <w:adjustRightInd w:val="0"/>
        <w:snapToGrid w:val="0"/>
        <w:spacing w:line="360" w:lineRule="auto"/>
        <w:ind w:right="105" w:firstLine="411" w:firstLineChars="196"/>
        <w:rPr>
          <w:rFonts w:ascii="宋体" w:hAnsi="宋体" w:cs="宋体"/>
          <w:szCs w:val="21"/>
          <w:lang w:val="zh-CN"/>
        </w:rPr>
      </w:pPr>
      <w:r>
        <w:rPr>
          <w:rFonts w:ascii="宋体" w:hAnsi="宋体" w:cs="宋体"/>
          <w:szCs w:val="21"/>
          <w:lang w:val="zh-CN"/>
        </w:rPr>
        <w:t>场景二：如该投资者后续没有交易，持有份额不变，在2021年6月1</w:t>
      </w:r>
      <w:r>
        <w:rPr>
          <w:rFonts w:hint="eastAsia" w:ascii="宋体" w:hAnsi="宋体" w:cs="宋体"/>
          <w:szCs w:val="21"/>
          <w:lang w:val="zh-CN"/>
        </w:rPr>
        <w:t>0</w:t>
      </w:r>
      <w:r>
        <w:rPr>
          <w:rFonts w:ascii="宋体" w:hAnsi="宋体" w:cs="宋体"/>
          <w:szCs w:val="21"/>
          <w:lang w:val="zh-CN"/>
        </w:rPr>
        <w:t>日泰安银行</w:t>
      </w:r>
      <w:r>
        <w:rPr>
          <w:rFonts w:hint="eastAsia" w:ascii="宋体" w:hAnsi="宋体" w:cs="宋体"/>
          <w:szCs w:val="21"/>
          <w:lang w:eastAsia="zh-CN"/>
        </w:rPr>
        <w:t>公布的前一日</w:t>
      </w:r>
      <w:r>
        <w:rPr>
          <w:rFonts w:ascii="宋体" w:hAnsi="宋体" w:cs="宋体"/>
          <w:szCs w:val="21"/>
          <w:lang w:val="zh-CN"/>
        </w:rPr>
        <w:t>产品单位净值 为0.999000元/份，则截止2021年6月1</w:t>
      </w:r>
      <w:r>
        <w:rPr>
          <w:rFonts w:hint="eastAsia" w:ascii="宋体" w:hAnsi="宋体" w:cs="宋体"/>
          <w:szCs w:val="21"/>
          <w:lang w:val="zh-CN"/>
        </w:rPr>
        <w:t>0</w:t>
      </w:r>
      <w:r>
        <w:rPr>
          <w:rFonts w:ascii="宋体" w:hAnsi="宋体" w:cs="宋体"/>
          <w:szCs w:val="21"/>
          <w:lang w:val="zh-CN"/>
        </w:rPr>
        <w:t>日，该投资者持有理财的产品市值为50000</w:t>
      </w:r>
      <w:r>
        <w:t>X</w:t>
      </w:r>
      <w:r>
        <w:rPr>
          <w:rFonts w:ascii="宋体" w:hAnsi="宋体" w:cs="宋体"/>
          <w:szCs w:val="21"/>
          <w:lang w:val="zh-CN"/>
        </w:rPr>
        <w:t>0.999000=49950.00 元。该投资者在最近一个投资周期内的账面理财收益是49950.00-50000.00=-50.00元（亏损）。</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（上述收益测算中所有数据仅为示例假设水平，仅供参考，不代表本期理财产品实际收益水平）</w:t>
      </w:r>
    </w:p>
    <w:p>
      <w:pPr>
        <w:adjustRightInd w:val="0"/>
        <w:snapToGrid w:val="0"/>
        <w:spacing w:line="360" w:lineRule="auto"/>
        <w:ind w:right="105"/>
        <w:rPr>
          <w:rFonts w:ascii="宋体" w:hAnsi="宋体" w:cs="宋体"/>
          <w:szCs w:val="21"/>
        </w:rPr>
      </w:pPr>
      <w:r>
        <w:rPr>
          <w:rFonts w:hint="eastAsia" w:ascii="宋体" w:hAnsi="宋体" w:cs="宋体"/>
          <w:szCs w:val="21"/>
          <w:lang w:val="en-US" w:eastAsia="zh-CN"/>
        </w:rPr>
        <w:t xml:space="preserve">    </w:t>
      </w:r>
      <w:r>
        <w:rPr>
          <w:rFonts w:hint="eastAsia" w:ascii="宋体" w:hAnsi="宋体" w:cs="宋体"/>
          <w:szCs w:val="21"/>
        </w:rPr>
        <w:t>4、投资收益分配：</w:t>
      </w:r>
      <w:r>
        <w:rPr>
          <w:rFonts w:hint="eastAsia" w:ascii="宋体" w:hAnsi="宋体" w:cs="宋体"/>
          <w:b/>
          <w:bCs/>
          <w:szCs w:val="21"/>
        </w:rPr>
        <w:t>客户赎回</w:t>
      </w:r>
      <w:r>
        <w:rPr>
          <w:rFonts w:hint="eastAsia" w:ascii="宋体" w:hAnsi="宋体" w:cs="宋体"/>
          <w:b/>
          <w:bCs/>
          <w:szCs w:val="21"/>
          <w:lang w:eastAsia="zh-CN"/>
        </w:rPr>
        <w:t>交易</w:t>
      </w:r>
      <w:r>
        <w:rPr>
          <w:rFonts w:hint="eastAsia" w:ascii="宋体" w:hAnsi="宋体" w:cs="宋体"/>
          <w:b/>
          <w:bCs/>
          <w:szCs w:val="21"/>
        </w:rPr>
        <w:t>确认</w:t>
      </w:r>
      <w:r>
        <w:rPr>
          <w:rFonts w:hint="eastAsia" w:ascii="宋体" w:hAnsi="宋体" w:cs="宋体"/>
          <w:b/>
          <w:bCs/>
          <w:szCs w:val="21"/>
          <w:lang w:eastAsia="zh-CN"/>
        </w:rPr>
        <w:t>成功</w:t>
      </w:r>
      <w:r>
        <w:rPr>
          <w:rFonts w:hint="eastAsia" w:ascii="宋体" w:hAnsi="宋体" w:cs="宋体"/>
          <w:b/>
          <w:bCs/>
          <w:szCs w:val="21"/>
        </w:rPr>
        <w:t>或理财产品到期后，泰安银行将不迟于</w:t>
      </w:r>
      <w:r>
        <w:rPr>
          <w:rFonts w:hint="eastAsia" w:ascii="宋体" w:hAnsi="宋体" w:cs="宋体"/>
          <w:b/>
          <w:bCs/>
          <w:szCs w:val="21"/>
          <w:lang w:eastAsia="zh-CN"/>
        </w:rPr>
        <w:t>周期确认日或到期日</w:t>
      </w:r>
      <w:r>
        <w:rPr>
          <w:rFonts w:hint="eastAsia" w:ascii="宋体" w:hAnsi="宋体" w:cs="宋体"/>
          <w:b/>
          <w:bCs/>
          <w:szCs w:val="21"/>
        </w:rPr>
        <w:t>之后2个工作日内将资金划转到客户签约账户；但因证券停牌、债券暂停交易等原因造成资产不能及时变现的，至能全部变现时将资金转至投资者指定账户。</w:t>
      </w:r>
    </w:p>
    <w:p>
      <w:pPr>
        <w:numPr>
          <w:ilvl w:val="0"/>
          <w:numId w:val="3"/>
        </w:numPr>
        <w:adjustRightInd w:val="0"/>
        <w:snapToGrid w:val="0"/>
        <w:spacing w:line="360" w:lineRule="auto"/>
        <w:ind w:right="105" w:firstLine="413" w:firstLineChars="196"/>
        <w:rPr>
          <w:rFonts w:ascii="宋体" w:hAnsi="宋体" w:cs="宋体"/>
          <w:szCs w:val="21"/>
        </w:rPr>
      </w:pPr>
      <w:r>
        <w:rPr>
          <w:rFonts w:hint="eastAsia" w:ascii="宋体" w:hAnsi="宋体" w:cs="宋体"/>
          <w:b/>
          <w:bCs/>
          <w:szCs w:val="21"/>
        </w:rPr>
        <w:t>理财产品实际收益的金额可能因四舍五入原因与示例略有不同，以实际金额为准。</w:t>
      </w:r>
    </w:p>
    <w:p>
      <w:pPr>
        <w:numPr>
          <w:ilvl w:val="0"/>
          <w:numId w:val="3"/>
        </w:num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适用的节假日调整惯例：</w:t>
      </w:r>
      <w:r>
        <w:rPr>
          <w:rFonts w:hint="eastAsia" w:ascii="宋体" w:hAnsi="宋体" w:cs="宋体"/>
          <w:b/>
          <w:bCs/>
          <w:szCs w:val="21"/>
        </w:rPr>
        <w:t>即如遇中国法定节假日，延后至节假日后的第一个工作日</w:t>
      </w:r>
      <w:r>
        <w:rPr>
          <w:rFonts w:hint="eastAsia" w:ascii="宋体" w:hAnsi="宋体" w:cs="宋体"/>
          <w:szCs w:val="21"/>
        </w:rPr>
        <w:t>。</w:t>
      </w:r>
    </w:p>
    <w:p>
      <w:pPr>
        <w:adjustRightInd w:val="0"/>
        <w:snapToGrid w:val="0"/>
        <w:spacing w:line="360" w:lineRule="auto"/>
        <w:ind w:right="105" w:firstLine="422" w:firstLineChars="200"/>
        <w:rPr>
          <w:rFonts w:ascii="宋体" w:hAnsi="宋体" w:cs="宋体"/>
          <w:b/>
          <w:szCs w:val="21"/>
        </w:rPr>
      </w:pPr>
      <w:r>
        <w:rPr>
          <w:rFonts w:hint="eastAsia" w:ascii="宋体" w:hAnsi="宋体" w:cs="宋体"/>
          <w:b/>
          <w:szCs w:val="21"/>
        </w:rPr>
        <w:t>四、理财本金及收益兑付</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1、</w:t>
      </w:r>
      <w:r>
        <w:rPr>
          <w:rFonts w:hint="eastAsia" w:ascii="宋体" w:hAnsi="宋体" w:cs="宋体"/>
          <w:b/>
          <w:bCs/>
          <w:szCs w:val="21"/>
        </w:rPr>
        <w:t>本期理财产品不保障本金及收益，泰安银行发行本期理财产品不代表对本期产品的任何保本或收益承诺。</w:t>
      </w:r>
    </w:p>
    <w:p>
      <w:pPr>
        <w:spacing w:line="360" w:lineRule="auto"/>
        <w:rPr>
          <w:rStyle w:val="28"/>
          <w:rFonts w:ascii="宋体" w:hAnsi="宋体" w:eastAsia="宋体" w:cs="宋体"/>
        </w:rPr>
      </w:pPr>
      <w:r>
        <w:rPr>
          <w:rFonts w:hint="eastAsia" w:ascii="宋体" w:hAnsi="宋体" w:cs="宋体"/>
          <w:szCs w:val="21"/>
          <w:lang w:val="en-US" w:eastAsia="zh-CN"/>
        </w:rPr>
        <w:t xml:space="preserve">    </w:t>
      </w:r>
      <w:r>
        <w:rPr>
          <w:rFonts w:hint="eastAsia" w:ascii="宋体" w:hAnsi="宋体" w:cs="宋体"/>
          <w:szCs w:val="21"/>
        </w:rPr>
        <w:t>2、如未发生拟投资资产信用违约等事件，理财资金到账日一般为本期理财产品</w:t>
      </w:r>
      <w:r>
        <w:rPr>
          <w:rFonts w:hint="eastAsia"/>
          <w:b/>
          <w:szCs w:val="21"/>
        </w:rPr>
        <w:t>客户赎回确认日</w:t>
      </w:r>
      <w:r>
        <w:rPr>
          <w:rFonts w:hint="eastAsia" w:ascii="宋体" w:hAnsi="宋体" w:cs="宋体"/>
          <w:szCs w:val="21"/>
        </w:rPr>
        <w:t>或产品到期日后的2个工作日之内（遇法定节假日顺延）。</w:t>
      </w:r>
      <w:r>
        <w:rPr>
          <w:rFonts w:hint="eastAsia"/>
          <w:b/>
          <w:szCs w:val="21"/>
        </w:rPr>
        <w:t>本期理财产品客户赎回确认日或产品到期日至投资者资金到账日之间不计利息和投资收益。</w:t>
      </w:r>
    </w:p>
    <w:p>
      <w:pPr>
        <w:adjustRightInd w:val="0"/>
        <w:snapToGrid w:val="0"/>
        <w:spacing w:line="360" w:lineRule="auto"/>
        <w:ind w:right="105" w:firstLine="411" w:firstLineChars="196"/>
        <w:rPr>
          <w:rFonts w:ascii="宋体" w:hAnsi="宋体" w:cs="宋体"/>
          <w:b/>
          <w:bCs/>
          <w:szCs w:val="21"/>
        </w:rPr>
      </w:pPr>
      <w:r>
        <w:rPr>
          <w:rFonts w:ascii="宋体" w:hAnsi="宋体" w:cs="宋体"/>
          <w:szCs w:val="21"/>
        </w:rPr>
        <w:t>3、</w:t>
      </w:r>
      <w:r>
        <w:rPr>
          <w:rFonts w:hint="eastAsia" w:ascii="宋体" w:hAnsi="宋体" w:cs="宋体"/>
          <w:szCs w:val="21"/>
        </w:rPr>
        <w:t>如果泰安银行提前终止本期理财产品，泰安银行将在提前终止日后</w:t>
      </w:r>
      <w:r>
        <w:rPr>
          <w:rFonts w:ascii="宋体" w:hAnsi="宋体" w:cs="宋体"/>
          <w:szCs w:val="21"/>
        </w:rPr>
        <w:t>2个工作日内将投资资金划转至投资者约定账户。</w:t>
      </w:r>
      <w:r>
        <w:rPr>
          <w:rFonts w:hint="eastAsia" w:ascii="宋体" w:hAnsi="宋体" w:cs="宋体"/>
          <w:b/>
          <w:bCs/>
          <w:szCs w:val="21"/>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rPr>
      </w:pPr>
      <w:r>
        <w:rPr>
          <w:rFonts w:hint="eastAsia" w:ascii="宋体" w:hAnsi="宋体" w:cs="宋体"/>
          <w:szCs w:val="21"/>
        </w:rPr>
        <w:t>4、</w:t>
      </w:r>
      <w:r>
        <w:rPr>
          <w:rFonts w:hint="eastAsia" w:ascii="宋体" w:hAnsi="宋体" w:cs="宋体"/>
          <w:bCs/>
          <w:szCs w:val="21"/>
        </w:rPr>
        <w:t>在本理财产品存续期内，如</w:t>
      </w:r>
      <w:r>
        <w:rPr>
          <w:rFonts w:hint="eastAsia" w:ascii="宋体" w:hAnsi="宋体" w:cs="宋体"/>
          <w:b/>
          <w:szCs w:val="21"/>
        </w:rPr>
        <w:t>有权机关要求泰安银行配合对客户理财份额、理财账户、授权指定账户进行查封、冻结或扣划的</w:t>
      </w:r>
      <w:r>
        <w:rPr>
          <w:rFonts w:hint="eastAsia" w:ascii="宋体" w:hAnsi="宋体" w:cs="宋体"/>
          <w:bCs/>
          <w:szCs w:val="21"/>
        </w:rPr>
        <w:t>，泰安银行有权根据实际情况采取如下措施，包括但不限于</w:t>
      </w:r>
      <w:r>
        <w:rPr>
          <w:rFonts w:hint="eastAsia" w:ascii="宋体" w:hAnsi="宋体" w:cs="宋体"/>
          <w:b/>
          <w:szCs w:val="21"/>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五、理财产品费用</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2、托管、估值费：产品托管、估值费分别按</w:t>
      </w:r>
      <w:r>
        <w:rPr>
          <w:rFonts w:hint="eastAsia" w:ascii="宋体" w:hAnsi="宋体" w:cs="宋体"/>
          <w:szCs w:val="21"/>
          <w:highlight w:val="none"/>
          <w:lang w:val="en-US" w:eastAsia="zh-CN"/>
        </w:rPr>
        <w:t>理财产品资产净值</w:t>
      </w:r>
      <w:r>
        <w:rPr>
          <w:rFonts w:hint="eastAsia" w:ascii="宋体" w:hAnsi="宋体" w:cs="宋体"/>
          <w:szCs w:val="21"/>
        </w:rPr>
        <w:t>的0.005%年费率收取，按日计提。</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3、固定管理费：产品固定管理费按</w:t>
      </w:r>
      <w:r>
        <w:rPr>
          <w:rFonts w:hint="eastAsia" w:ascii="宋体" w:hAnsi="宋体" w:cs="宋体"/>
          <w:szCs w:val="21"/>
          <w:highlight w:val="none"/>
          <w:lang w:val="en-US" w:eastAsia="zh-CN"/>
        </w:rPr>
        <w:t>理财产品资产净值</w:t>
      </w:r>
      <w:r>
        <w:rPr>
          <w:rFonts w:hint="eastAsia" w:ascii="宋体" w:hAnsi="宋体" w:cs="宋体"/>
          <w:szCs w:val="21"/>
        </w:rPr>
        <w:t>的0.20%年费率收取，按日计提。</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六、理财产品估值：</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（一）估值对象：本理财产品所持有的所有资产。</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rPr>
      </w:pPr>
      <w:r>
        <w:rPr>
          <w:rFonts w:hint="eastAsia" w:ascii="宋体" w:hAnsi="宋体" w:cs="宋体"/>
          <w:b/>
          <w:szCs w:val="21"/>
          <w:lang w:val="en-US" w:eastAsia="zh-CN"/>
        </w:rPr>
        <w:t xml:space="preserve">    </w:t>
      </w:r>
      <w:r>
        <w:rPr>
          <w:rFonts w:hint="eastAsia" w:ascii="宋体" w:hAnsi="宋体" w:cs="宋体"/>
          <w:b/>
          <w:szCs w:val="21"/>
        </w:rPr>
        <w:t>七、风险揭示</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1、</w:t>
      </w:r>
      <w:r>
        <w:rPr>
          <w:rFonts w:hint="eastAsia" w:ascii="宋体" w:hAnsi="宋体" w:cs="宋体"/>
          <w:b/>
          <w:szCs w:val="21"/>
        </w:rPr>
        <w:t>信用风险</w:t>
      </w:r>
      <w:r>
        <w:rPr>
          <w:rFonts w:hint="eastAsia" w:ascii="宋体" w:hAnsi="宋体" w:cs="宋体"/>
          <w:bCs/>
          <w:szCs w:val="21"/>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2、</w:t>
      </w:r>
      <w:r>
        <w:rPr>
          <w:rFonts w:hint="eastAsia" w:ascii="宋体" w:hAnsi="宋体" w:cs="宋体"/>
          <w:b/>
          <w:szCs w:val="21"/>
        </w:rPr>
        <w:t>市场风险</w:t>
      </w:r>
      <w:r>
        <w:rPr>
          <w:rFonts w:hint="eastAsia" w:ascii="宋体" w:hAnsi="宋体" w:cs="宋体"/>
          <w:bCs/>
          <w:szCs w:val="21"/>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3、</w:t>
      </w:r>
      <w:r>
        <w:rPr>
          <w:rFonts w:hint="eastAsia" w:ascii="宋体" w:hAnsi="宋体" w:cs="宋体"/>
          <w:b/>
          <w:szCs w:val="21"/>
        </w:rPr>
        <w:t>政策风险</w:t>
      </w:r>
      <w:r>
        <w:rPr>
          <w:rFonts w:hint="eastAsia" w:ascii="宋体" w:hAnsi="宋体" w:cs="宋体"/>
          <w:bCs/>
          <w:szCs w:val="21"/>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4、</w:t>
      </w:r>
      <w:r>
        <w:rPr>
          <w:rFonts w:hint="eastAsia" w:ascii="宋体" w:hAnsi="宋体" w:cs="宋体"/>
          <w:b/>
          <w:szCs w:val="21"/>
        </w:rPr>
        <w:t>流动性风险</w:t>
      </w:r>
      <w:r>
        <w:rPr>
          <w:rFonts w:hint="eastAsia" w:ascii="宋体" w:hAnsi="宋体" w:cs="宋体"/>
          <w:bCs/>
          <w:szCs w:val="21"/>
        </w:rPr>
        <w:t>：在产品存续期内，</w:t>
      </w:r>
      <w:r>
        <w:rPr>
          <w:rFonts w:hint="eastAsia" w:ascii="宋体" w:hAnsi="宋体" w:cs="宋体"/>
          <w:bCs/>
          <w:szCs w:val="21"/>
          <w:lang w:eastAsia="zh-CN"/>
        </w:rPr>
        <w:t>本产品赎回条款约定</w:t>
      </w:r>
      <w:r>
        <w:rPr>
          <w:rFonts w:hint="eastAsia" w:ascii="宋体" w:hAnsi="宋体" w:cs="宋体"/>
          <w:bCs/>
          <w:szCs w:val="21"/>
        </w:rPr>
        <w:t>可能影响投资者的资金安排，</w:t>
      </w:r>
      <w:r>
        <w:rPr>
          <w:rFonts w:hint="eastAsia" w:ascii="宋体" w:hAnsi="宋体" w:cs="宋体"/>
          <w:bCs/>
          <w:szCs w:val="21"/>
          <w:lang w:eastAsia="zh-CN"/>
        </w:rPr>
        <w:t>给投资者</w:t>
      </w:r>
      <w:r>
        <w:rPr>
          <w:rFonts w:hint="eastAsia" w:ascii="宋体" w:hAnsi="宋体" w:cs="宋体"/>
          <w:bCs/>
          <w:szCs w:val="21"/>
        </w:rPr>
        <w:t>带来流动性风险。</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5、</w:t>
      </w:r>
      <w:r>
        <w:rPr>
          <w:rFonts w:hint="eastAsia" w:ascii="宋体" w:hAnsi="宋体" w:cs="宋体"/>
          <w:b/>
          <w:szCs w:val="21"/>
        </w:rPr>
        <w:t>再投资风险</w:t>
      </w:r>
      <w:r>
        <w:rPr>
          <w:rFonts w:hint="eastAsia" w:ascii="宋体" w:hAnsi="宋体" w:cs="宋体"/>
          <w:bCs/>
          <w:szCs w:val="21"/>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6、</w:t>
      </w:r>
      <w:r>
        <w:rPr>
          <w:rFonts w:hint="eastAsia" w:ascii="宋体" w:hAnsi="宋体" w:cs="宋体"/>
          <w:b/>
          <w:szCs w:val="21"/>
        </w:rPr>
        <w:t>信息传递风险</w:t>
      </w:r>
      <w:r>
        <w:rPr>
          <w:rFonts w:hint="eastAsia" w:ascii="宋体" w:hAnsi="宋体" w:cs="宋体"/>
          <w:bCs/>
          <w:szCs w:val="21"/>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7、</w:t>
      </w:r>
      <w:r>
        <w:rPr>
          <w:rFonts w:hint="eastAsia" w:ascii="宋体" w:hAnsi="宋体" w:cs="宋体"/>
          <w:b/>
          <w:szCs w:val="21"/>
        </w:rPr>
        <w:t>不可抗力和意外事件风险</w:t>
      </w:r>
      <w:r>
        <w:rPr>
          <w:rFonts w:hint="eastAsia" w:ascii="宋体" w:hAnsi="宋体" w:cs="宋体"/>
          <w:bCs/>
          <w:szCs w:val="21"/>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八、信息披露</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rPr>
      </w:pPr>
      <w:r>
        <w:rPr>
          <w:rFonts w:hint="eastAsia" w:ascii="宋体" w:hAnsi="宋体" w:cs="宋体"/>
          <w:szCs w:val="21"/>
        </w:rPr>
        <w:t>1、泰安银行官方网站（http://www.taccb.com.cn）、手机银行客户端、网上银行、等渠道发布公告信息；</w:t>
      </w:r>
    </w:p>
    <w:p>
      <w:pPr>
        <w:adjustRightInd w:val="0"/>
        <w:snapToGrid w:val="0"/>
        <w:spacing w:line="360" w:lineRule="auto"/>
        <w:ind w:left="412" w:right="105"/>
        <w:rPr>
          <w:rFonts w:ascii="宋体" w:hAnsi="宋体" w:cs="宋体"/>
          <w:szCs w:val="21"/>
        </w:rPr>
      </w:pPr>
      <w:r>
        <w:rPr>
          <w:rFonts w:hint="eastAsia" w:ascii="宋体" w:hAnsi="宋体" w:cs="宋体"/>
          <w:szCs w:val="21"/>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rPr>
      </w:pPr>
      <w:r>
        <w:rPr>
          <w:rFonts w:hint="eastAsia" w:ascii="宋体" w:hAnsi="宋体" w:cs="宋体"/>
          <w:szCs w:val="21"/>
        </w:rPr>
        <w:t>3、</w:t>
      </w:r>
      <w:r>
        <w:rPr>
          <w:rFonts w:hint="eastAsia" w:ascii="宋体" w:hAnsi="宋体" w:cs="宋体"/>
          <w:b/>
          <w:bCs/>
          <w:szCs w:val="21"/>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rPr>
      </w:pPr>
      <w:r>
        <w:rPr>
          <w:rFonts w:hint="eastAsia" w:ascii="宋体" w:hAnsi="宋体" w:cs="宋体"/>
          <w:b/>
          <w:szCs w:val="30"/>
        </w:rPr>
        <w:t>九、理财产品风险内部风险评级</w:t>
      </w:r>
    </w:p>
    <w:p>
      <w:pPr>
        <w:widowControl/>
        <w:adjustRightInd w:val="0"/>
        <w:snapToGrid w:val="0"/>
        <w:spacing w:line="360" w:lineRule="auto"/>
        <w:ind w:firstLine="411" w:firstLineChars="196"/>
        <w:rPr>
          <w:rFonts w:ascii="宋体" w:hAnsi="宋体" w:cs="宋体"/>
          <w:szCs w:val="30"/>
        </w:rPr>
      </w:pPr>
      <w:r>
        <w:rPr>
          <w:rFonts w:hint="eastAsia" w:ascii="宋体" w:hAnsi="宋体" w:cs="宋体"/>
          <w:szCs w:val="30"/>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rPr>
      </w:pPr>
      <w:r>
        <w:rPr>
          <w:rFonts w:hint="eastAsia" w:ascii="宋体" w:hAnsi="宋体" w:cs="宋体"/>
          <w:szCs w:val="30"/>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rPr>
      </w:pPr>
      <w:r>
        <w:rPr>
          <w:rFonts w:hint="eastAsia" w:ascii="宋体" w:hAnsi="宋体" w:cs="宋体"/>
          <w:szCs w:val="30"/>
        </w:rPr>
        <w:t>3、该评级仅供参考，不具备法律效力。</w:t>
      </w:r>
    </w:p>
    <w:tbl>
      <w:tblPr>
        <w:tblStyle w:val="11"/>
        <w:tblW w:w="9550" w:type="dxa"/>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3" w:firstLineChars="196"/>
        <w:rPr>
          <w:rFonts w:ascii="宋体" w:hAnsi="宋体" w:cs="宋体"/>
          <w:b/>
          <w:bCs w:val="0"/>
          <w:szCs w:val="21"/>
        </w:rPr>
      </w:pPr>
      <w:r>
        <w:rPr>
          <w:rFonts w:hint="eastAsia" w:ascii="宋体" w:hAnsi="宋体" w:cs="宋体"/>
          <w:b/>
          <w:bCs w:val="0"/>
          <w:szCs w:val="21"/>
        </w:rPr>
        <w:t>十、重要须知</w:t>
      </w:r>
    </w:p>
    <w:p>
      <w:pPr>
        <w:adjustRightInd w:val="0"/>
        <w:snapToGrid w:val="0"/>
        <w:spacing w:line="360" w:lineRule="auto"/>
        <w:ind w:left="412" w:right="105"/>
        <w:rPr>
          <w:rFonts w:ascii="宋体" w:hAnsi="宋体" w:cs="宋体"/>
          <w:bCs/>
          <w:szCs w:val="21"/>
        </w:rPr>
      </w:pPr>
      <w:r>
        <w:rPr>
          <w:rFonts w:ascii="宋体" w:hAnsi="宋体" w:cs="宋体"/>
          <w:bCs/>
          <w:szCs w:val="21"/>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3、理财产品过往业绩不代表其未来表现，不等于理财产品实际收益，投资</w:t>
      </w:r>
      <w:r>
        <w:rPr>
          <w:rFonts w:hint="eastAsia" w:ascii="宋体" w:hAnsi="宋体" w:cs="宋体"/>
          <w:bCs/>
          <w:szCs w:val="21"/>
          <w:lang w:eastAsia="zh-CN"/>
        </w:rPr>
        <w:t>须</w:t>
      </w:r>
      <w:r>
        <w:rPr>
          <w:rFonts w:ascii="宋体" w:hAnsi="宋体" w:cs="宋体"/>
          <w:bCs/>
          <w:szCs w:val="21"/>
        </w:rPr>
        <w:t>谨慎。</w:t>
      </w:r>
    </w:p>
    <w:p>
      <w:pPr>
        <w:adjustRightInd w:val="0"/>
        <w:snapToGrid w:val="0"/>
        <w:spacing w:line="360" w:lineRule="auto"/>
        <w:ind w:right="108" w:firstLine="420" w:firstLineChars="200"/>
        <w:jc w:val="left"/>
        <w:rPr>
          <w:bCs/>
        </w:rPr>
      </w:pPr>
      <w:r>
        <w:rPr>
          <w:rFonts w:ascii="宋体" w:hAnsi="宋体" w:cs="宋体"/>
          <w:bCs/>
          <w:szCs w:val="21"/>
        </w:rPr>
        <w:t>4、本理财产品存续期内定期公布单位净值，产品到期后5个工作日内在泰安银行网站（网址：</w:t>
      </w:r>
      <w:r>
        <w:fldChar w:fldCharType="begin"/>
      </w:r>
      <w:r>
        <w:instrText xml:space="preserve">HYPERLINK "http://www.qlbchina.com）或以书面形式发布产品清算信息。敬请关注齐鲁银行与本产品有关的信息公告，以免造成不必要的损失。/" </w:instrText>
      </w:r>
      <w:r>
        <w:fldChar w:fldCharType="separate"/>
      </w:r>
      <w:r>
        <w:rPr>
          <w:rFonts w:ascii="宋体" w:hAnsi="宋体" w:cs="宋体"/>
          <w:bCs/>
          <w:szCs w:val="21"/>
        </w:rPr>
        <w:t>http://www.taccb.com.cn）或以书面形式发布产品到期信息。敬请关注泰安银行与本产品有关的信息公告，以免造成不必要的损失。</w:t>
      </w:r>
      <w:r>
        <w:fldChar w:fldCharType="end"/>
      </w:r>
    </w:p>
    <w:p>
      <w:pPr>
        <w:adjustRightInd w:val="0"/>
        <w:snapToGrid w:val="0"/>
        <w:spacing w:line="360" w:lineRule="auto"/>
        <w:ind w:right="108" w:firstLine="420" w:firstLineChars="200"/>
        <w:jc w:val="left"/>
        <w:rPr>
          <w:bCs/>
        </w:rPr>
      </w:pPr>
      <w:r>
        <w:rPr>
          <w:rFonts w:hint="eastAsia"/>
          <w:bCs/>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rPr>
      </w:pPr>
      <w:r>
        <w:rPr>
          <w:rFonts w:hint="eastAsia"/>
          <w:bCs/>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rPr>
      </w:pPr>
      <w:r>
        <w:rPr>
          <w:rFonts w:ascii="宋体" w:hAnsi="宋体" w:cs="宋体"/>
          <w:b/>
          <w:szCs w:val="21"/>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rPr>
        <w:t>泰安</w:t>
      </w:r>
      <w:r>
        <w:rPr>
          <w:rFonts w:ascii="宋体" w:hAnsi="宋体" w:cs="宋体"/>
          <w:b/>
          <w:szCs w:val="21"/>
        </w:rPr>
        <w:t>银行按照</w:t>
      </w:r>
      <w:r>
        <w:rPr>
          <w:rFonts w:hint="eastAsia" w:ascii="宋体" w:hAnsi="宋体" w:cs="宋体"/>
          <w:b/>
          <w:szCs w:val="21"/>
        </w:rPr>
        <w:t>法律法规和</w:t>
      </w:r>
      <w:r>
        <w:rPr>
          <w:rFonts w:ascii="宋体" w:hAnsi="宋体" w:cs="宋体"/>
          <w:b/>
          <w:szCs w:val="21"/>
        </w:rPr>
        <w:t>监管要求予以报送，无需另行通知</w:t>
      </w:r>
      <w:r>
        <w:rPr>
          <w:rFonts w:hint="eastAsia" w:ascii="宋体" w:hAnsi="宋体" w:cs="宋体"/>
          <w:b/>
          <w:szCs w:val="21"/>
        </w:rPr>
        <w:t>。</w:t>
      </w:r>
    </w:p>
    <w:p>
      <w:pPr>
        <w:adjustRightInd w:val="0"/>
        <w:snapToGrid w:val="0"/>
        <w:spacing w:line="360" w:lineRule="auto"/>
        <w:ind w:right="105" w:firstLine="420" w:firstLineChars="200"/>
        <w:rPr>
          <w:rFonts w:ascii="宋体" w:hAnsi="宋体" w:cs="宋体"/>
          <w:bCs/>
          <w:szCs w:val="21"/>
        </w:rPr>
      </w:pPr>
      <w:r>
        <w:rPr>
          <w:rFonts w:ascii="宋体" w:hAnsi="宋体" w:cs="宋体"/>
          <w:bCs/>
          <w:szCs w:val="21"/>
        </w:rPr>
        <w:t>7、在本理财产品存续期内，如因国家法律法规、监管政策发生变化，或出于维护本产品正常运维的需要，在不损害客户利益的前提下，</w:t>
      </w:r>
      <w:r>
        <w:rPr>
          <w:rFonts w:hint="eastAsia" w:ascii="宋体" w:hAnsi="宋体" w:cs="宋体"/>
          <w:b/>
          <w:szCs w:val="21"/>
        </w:rPr>
        <w:t>泰安银行有权对本理财产品说明书进行相关修订。</w:t>
      </w:r>
      <w:r>
        <w:rPr>
          <w:rFonts w:hint="eastAsia" w:ascii="宋体" w:hAnsi="宋体" w:cs="宋体"/>
          <w:bCs/>
          <w:szCs w:val="21"/>
        </w:rPr>
        <w:t>如遇上述情况，泰安银行将在提前</w:t>
      </w:r>
      <w:r>
        <w:rPr>
          <w:rFonts w:ascii="宋体" w:hAnsi="宋体" w:cs="宋体"/>
          <w:bCs/>
          <w:szCs w:val="21"/>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rPr>
      </w:pPr>
      <w:r>
        <w:rPr>
          <w:rFonts w:hint="eastAsia" w:ascii="宋体" w:hAnsi="宋体" w:cs="宋体"/>
          <w:b/>
          <w:szCs w:val="21"/>
        </w:rPr>
        <w:t>十一、募集期/投资周期业绩比较基准查询表</w:t>
      </w:r>
    </w:p>
    <w:tbl>
      <w:tblPr>
        <w:tblStyle w:val="11"/>
        <w:tblW w:w="81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0"/>
        <w:gridCol w:w="2441"/>
        <w:gridCol w:w="1785"/>
        <w:gridCol w:w="1843"/>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8" w:hRule="atLeast"/>
        </w:trPr>
        <w:tc>
          <w:tcPr>
            <w:tcW w:w="560" w:type="dxa"/>
            <w:vAlign w:val="center"/>
          </w:tcPr>
          <w:p>
            <w:pPr>
              <w:snapToGrid w:val="0"/>
              <w:spacing w:line="360" w:lineRule="auto"/>
              <w:jc w:val="center"/>
              <w:rPr>
                <w:rFonts w:ascii="宋体" w:hAnsi="宋体" w:cs="宋体"/>
                <w:b/>
                <w:szCs w:val="21"/>
              </w:rPr>
            </w:pPr>
            <w:r>
              <w:rPr>
                <w:rFonts w:hint="eastAsia" w:ascii="宋体" w:hAnsi="宋体" w:cs="宋体"/>
                <w:b/>
                <w:szCs w:val="21"/>
              </w:rPr>
              <w:t>序号</w:t>
            </w:r>
          </w:p>
        </w:tc>
        <w:tc>
          <w:tcPr>
            <w:tcW w:w="2441" w:type="dxa"/>
            <w:vAlign w:val="center"/>
          </w:tcPr>
          <w:p>
            <w:pPr>
              <w:snapToGrid w:val="0"/>
              <w:spacing w:line="360" w:lineRule="auto"/>
              <w:jc w:val="center"/>
              <w:rPr>
                <w:rFonts w:ascii="宋体" w:hAnsi="宋体" w:cs="宋体"/>
                <w:b/>
                <w:szCs w:val="21"/>
              </w:rPr>
            </w:pPr>
            <w:r>
              <w:rPr>
                <w:rFonts w:hint="eastAsia" w:ascii="宋体" w:hAnsi="宋体" w:cs="宋体"/>
                <w:b/>
                <w:szCs w:val="21"/>
              </w:rPr>
              <w:t>募集期</w:t>
            </w:r>
          </w:p>
          <w:p>
            <w:pPr>
              <w:snapToGrid w:val="0"/>
              <w:spacing w:line="360" w:lineRule="auto"/>
              <w:jc w:val="center"/>
              <w:rPr>
                <w:rFonts w:ascii="宋体" w:hAnsi="宋体" w:cs="宋体"/>
                <w:b/>
                <w:szCs w:val="21"/>
              </w:rPr>
            </w:pPr>
            <w:r>
              <w:rPr>
                <w:rFonts w:hint="eastAsia" w:ascii="宋体" w:hAnsi="宋体" w:cs="宋体"/>
                <w:b/>
                <w:szCs w:val="21"/>
              </w:rPr>
              <w:t>（开放期）</w:t>
            </w:r>
          </w:p>
        </w:tc>
        <w:tc>
          <w:tcPr>
            <w:tcW w:w="1785" w:type="dxa"/>
            <w:vAlign w:val="center"/>
          </w:tcPr>
          <w:p>
            <w:pPr>
              <w:snapToGrid w:val="0"/>
              <w:spacing w:line="360" w:lineRule="auto"/>
              <w:jc w:val="center"/>
              <w:rPr>
                <w:rFonts w:ascii="宋体" w:hAnsi="宋体" w:cs="宋体"/>
                <w:b/>
                <w:szCs w:val="21"/>
              </w:rPr>
            </w:pPr>
            <w:r>
              <w:rPr>
                <w:rFonts w:hint="eastAsia" w:ascii="宋体" w:hAnsi="宋体" w:cs="宋体"/>
                <w:b/>
                <w:szCs w:val="21"/>
              </w:rPr>
              <w:t>成立日</w:t>
            </w:r>
          </w:p>
          <w:p>
            <w:pPr>
              <w:snapToGrid w:val="0"/>
              <w:spacing w:line="360" w:lineRule="auto"/>
              <w:jc w:val="center"/>
              <w:rPr>
                <w:rFonts w:ascii="宋体" w:hAnsi="宋体" w:cs="宋体"/>
                <w:b/>
                <w:szCs w:val="21"/>
              </w:rPr>
            </w:pPr>
            <w:r>
              <w:rPr>
                <w:rFonts w:hint="eastAsia" w:ascii="宋体" w:hAnsi="宋体" w:cs="宋体"/>
                <w:b/>
                <w:szCs w:val="21"/>
              </w:rPr>
              <w:t>（周期确认日）</w:t>
            </w:r>
          </w:p>
        </w:tc>
        <w:tc>
          <w:tcPr>
            <w:tcW w:w="1843" w:type="dxa"/>
            <w:vAlign w:val="center"/>
          </w:tcPr>
          <w:p>
            <w:pPr>
              <w:snapToGrid w:val="0"/>
              <w:spacing w:line="360" w:lineRule="auto"/>
              <w:jc w:val="center"/>
              <w:rPr>
                <w:rFonts w:ascii="宋体" w:hAnsi="宋体" w:cs="宋体"/>
                <w:b/>
                <w:szCs w:val="21"/>
              </w:rPr>
            </w:pPr>
            <w:r>
              <w:rPr>
                <w:rFonts w:hint="eastAsia" w:ascii="宋体" w:hAnsi="宋体" w:cs="宋体"/>
                <w:b/>
                <w:szCs w:val="21"/>
              </w:rPr>
              <w:t>下一周期确认日</w:t>
            </w:r>
          </w:p>
        </w:tc>
        <w:tc>
          <w:tcPr>
            <w:tcW w:w="1559" w:type="dxa"/>
            <w:vAlign w:val="center"/>
          </w:tcPr>
          <w:p>
            <w:pPr>
              <w:snapToGrid w:val="0"/>
              <w:spacing w:line="360" w:lineRule="auto"/>
              <w:jc w:val="center"/>
              <w:rPr>
                <w:rFonts w:ascii="宋体" w:hAnsi="宋体" w:cs="宋体"/>
                <w:b/>
                <w:szCs w:val="21"/>
              </w:rPr>
            </w:pPr>
            <w:r>
              <w:rPr>
                <w:rFonts w:hint="eastAsia" w:ascii="宋体" w:hAnsi="宋体" w:cs="宋体"/>
                <w:b/>
                <w:szCs w:val="21"/>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41" w:type="dxa"/>
            <w:vAlign w:val="center"/>
          </w:tcPr>
          <w:p>
            <w:pPr>
              <w:snapToGrid w:val="0"/>
              <w:spacing w:line="360" w:lineRule="auto"/>
              <w:jc w:val="center"/>
              <w:rPr>
                <w:rFonts w:ascii="宋体" w:hAnsi="宋体" w:cs="宋体"/>
                <w:szCs w:val="21"/>
              </w:rPr>
            </w:pPr>
            <w:r>
              <w:rPr>
                <w:rFonts w:hint="eastAsia" w:ascii="宋体" w:hAnsi="宋体" w:cs="宋体"/>
                <w:szCs w:val="21"/>
              </w:rPr>
              <w:t>20210922-20210928</w:t>
            </w:r>
          </w:p>
        </w:tc>
        <w:tc>
          <w:tcPr>
            <w:tcW w:w="1785" w:type="dxa"/>
            <w:vAlign w:val="center"/>
          </w:tcPr>
          <w:p>
            <w:pPr>
              <w:snapToGrid w:val="0"/>
              <w:spacing w:line="360" w:lineRule="auto"/>
              <w:jc w:val="center"/>
              <w:rPr>
                <w:rFonts w:ascii="宋体" w:hAnsi="宋体" w:cs="宋体"/>
                <w:szCs w:val="21"/>
              </w:rPr>
            </w:pPr>
            <w:r>
              <w:rPr>
                <w:rFonts w:hint="eastAsia" w:ascii="宋体" w:hAnsi="宋体" w:cs="宋体"/>
                <w:szCs w:val="21"/>
              </w:rPr>
              <w:t>20210929</w:t>
            </w:r>
          </w:p>
        </w:tc>
        <w:tc>
          <w:tcPr>
            <w:tcW w:w="1843" w:type="dxa"/>
            <w:vAlign w:val="center"/>
          </w:tcPr>
          <w:p>
            <w:pPr>
              <w:widowControl/>
              <w:jc w:val="center"/>
              <w:textAlignment w:val="center"/>
              <w:rPr>
                <w:rFonts w:ascii="宋体" w:hAnsi="宋体" w:cs="宋体"/>
                <w:szCs w:val="21"/>
              </w:rPr>
            </w:pPr>
            <w:r>
              <w:rPr>
                <w:rFonts w:hint="eastAsia" w:ascii="宋体" w:hAnsi="宋体" w:cs="宋体"/>
                <w:szCs w:val="21"/>
              </w:rPr>
              <w:t>20211013</w:t>
            </w:r>
          </w:p>
        </w:tc>
        <w:tc>
          <w:tcPr>
            <w:tcW w:w="1559" w:type="dxa"/>
            <w:vAlign w:val="center"/>
          </w:tcPr>
          <w:p>
            <w:pPr>
              <w:snapToGrid w:val="0"/>
              <w:spacing w:line="360" w:lineRule="auto"/>
              <w:jc w:val="center"/>
              <w:rPr>
                <w:rFonts w:ascii="宋体" w:hAnsi="宋体" w:cs="宋体"/>
                <w:szCs w:val="21"/>
              </w:rPr>
            </w:pPr>
            <w:r>
              <w:rPr>
                <w:rFonts w:hint="eastAsia" w:ascii="宋体" w:hAnsi="宋体" w:cs="宋体"/>
                <w:szCs w:val="21"/>
              </w:rPr>
              <w:t>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2441"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785"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843" w:type="dxa"/>
            <w:vAlign w:val="center"/>
          </w:tcPr>
          <w:p>
            <w:pPr>
              <w:widowControl/>
              <w:jc w:val="center"/>
              <w:textAlignment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559" w:type="dxa"/>
            <w:vAlign w:val="center"/>
          </w:tcPr>
          <w:p>
            <w:pPr>
              <w:snapToGrid w:val="0"/>
              <w:spacing w:line="360" w:lineRule="auto"/>
              <w:jc w:val="center"/>
              <w:rPr>
                <w:rFonts w:hint="eastAsia" w:ascii="宋体" w:hAnsi="宋体" w:cs="宋体"/>
                <w:szCs w:val="21"/>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20250806-20250812</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20250813</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20250820</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1.85%-2.15%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20250813-20250819</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20250820</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20250827</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1.85%-2.15%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20250820-20250826</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20250827</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20250903</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1.85%-2.15%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20250827-20250902</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20250903</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20250910</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1.85%-2.05%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20250903-20250909</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20250910</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20250917</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1.85%-2.05%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20250910-20250916</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20250917</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20250924</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1.85%-2.05%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20250917-20250923</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20250924</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20251015</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1.85%-2.05%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20250924-20251014</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20251015</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20251022</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1.75%-1.95%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20251015-20251021</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20251022</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20251029</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1.75%-1.95%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201</w:t>
            </w:r>
          </w:p>
        </w:tc>
        <w:tc>
          <w:tcPr>
            <w:tcW w:w="2441"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20251022-20251028</w:t>
            </w:r>
          </w:p>
        </w:tc>
        <w:tc>
          <w:tcPr>
            <w:tcW w:w="1785"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20251029</w:t>
            </w:r>
          </w:p>
        </w:tc>
        <w:tc>
          <w:tcPr>
            <w:tcW w:w="1843"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20251105</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1.75%-1.95%</w:t>
            </w:r>
          </w:p>
        </w:tc>
      </w:tr>
    </w:tbl>
    <w:p>
      <w:pPr>
        <w:snapToGrid w:val="0"/>
        <w:spacing w:line="360" w:lineRule="auto"/>
        <w:rPr>
          <w:rFonts w:hint="eastAsia" w:ascii="宋体" w:hAnsi="宋体" w:cs="宋体"/>
          <w:b/>
          <w:szCs w:val="21"/>
        </w:rPr>
      </w:pPr>
    </w:p>
    <w:p>
      <w:pPr>
        <w:snapToGrid w:val="0"/>
        <w:spacing w:line="360" w:lineRule="auto"/>
        <w:rPr>
          <w:rFonts w:ascii="宋体" w:hAnsi="宋体" w:cs="宋体"/>
          <w:b/>
          <w:szCs w:val="21"/>
        </w:rPr>
      </w:pPr>
      <w:r>
        <w:rPr>
          <w:rFonts w:hint="eastAsia" w:ascii="宋体" w:hAnsi="宋体" w:cs="宋体"/>
          <w:b/>
          <w:szCs w:val="21"/>
        </w:rPr>
        <w:t>十二、募集期认购/投资周期申购要素信息表</w:t>
      </w:r>
    </w:p>
    <w:p>
      <w:pPr>
        <w:jc w:val="center"/>
        <w:rPr>
          <w:rFonts w:ascii="宋体" w:hAnsi="宋体" w:cs="宋体"/>
          <w:b/>
          <w:sz w:val="28"/>
          <w:szCs w:val="36"/>
        </w:rPr>
      </w:pPr>
      <w:r>
        <w:rPr>
          <w:rFonts w:hint="eastAsia" w:ascii="宋体" w:hAnsi="宋体" w:cs="宋体"/>
          <w:b/>
          <w:sz w:val="28"/>
          <w:szCs w:val="36"/>
        </w:rPr>
        <w:t>“金紫薇”共赢C系列1号人民币理财产品</w:t>
      </w:r>
    </w:p>
    <w:p>
      <w:pPr>
        <w:spacing w:line="360" w:lineRule="auto"/>
        <w:jc w:val="center"/>
        <w:rPr>
          <w:rFonts w:ascii="宋体" w:hAnsi="宋体" w:cs="宋体"/>
          <w:b/>
          <w:sz w:val="28"/>
          <w:szCs w:val="36"/>
        </w:rPr>
      </w:pPr>
      <w:r>
        <w:rPr>
          <w:rFonts w:hint="eastAsia" w:ascii="宋体" w:hAnsi="宋体" w:cs="宋体"/>
          <w:b/>
          <w:sz w:val="28"/>
          <w:szCs w:val="36"/>
          <w:lang w:eastAsia="zh-CN"/>
        </w:rPr>
        <w:t>申购</w:t>
      </w:r>
      <w:r>
        <w:rPr>
          <w:rFonts w:hint="eastAsia" w:ascii="宋体" w:hAnsi="宋体" w:cs="宋体"/>
          <w:b/>
          <w:sz w:val="28"/>
          <w:szCs w:val="36"/>
        </w:rPr>
        <w:t>要素表</w:t>
      </w:r>
    </w:p>
    <w:p>
      <w:pPr>
        <w:spacing w:line="360" w:lineRule="auto"/>
        <w:rPr>
          <w:rFonts w:ascii="宋体" w:hAnsi="宋体" w:cs="宋体"/>
          <w:szCs w:val="30"/>
        </w:rPr>
      </w:pPr>
      <w:r>
        <w:rPr>
          <w:rFonts w:hint="eastAsia" w:ascii="宋体" w:hAnsi="宋体" w:cs="宋体"/>
          <w:szCs w:val="30"/>
        </w:rPr>
        <w:t>尊敬的投资者：</w:t>
      </w:r>
    </w:p>
    <w:p>
      <w:pPr>
        <w:spacing w:line="360" w:lineRule="auto"/>
        <w:ind w:firstLine="420"/>
        <w:rPr>
          <w:rFonts w:ascii="宋体" w:hAnsi="宋体" w:cs="宋体"/>
          <w:szCs w:val="30"/>
        </w:rPr>
      </w:pPr>
      <w:r>
        <w:rPr>
          <w:rFonts w:hint="eastAsia" w:ascii="宋体" w:hAnsi="宋体" w:cs="宋体"/>
          <w:szCs w:val="30"/>
        </w:rPr>
        <w:t>按照“金紫薇”共赢C系列1号人民币理财产品说明书相关规定，我行将“金紫薇”共赢C系列1号人民币理财产品投资周期</w:t>
      </w:r>
      <w:r>
        <w:rPr>
          <w:rFonts w:hint="eastAsia" w:ascii="宋体" w:hAnsi="宋体" w:cs="宋体"/>
          <w:szCs w:val="30"/>
          <w:lang w:eastAsia="zh-CN"/>
        </w:rPr>
        <w:t>申</w:t>
      </w:r>
      <w:r>
        <w:rPr>
          <w:rFonts w:hint="eastAsia" w:ascii="宋体" w:hAnsi="宋体" w:cs="宋体"/>
          <w:szCs w:val="30"/>
        </w:rPr>
        <w:t>购要素表公告如下，请投资者关注：</w:t>
      </w:r>
    </w:p>
    <w:tbl>
      <w:tblPr>
        <w:tblStyle w:val="11"/>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C21001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开放期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5</w:t>
            </w:r>
            <w:r>
              <w:rPr>
                <w:rFonts w:hint="eastAsia" w:ascii="宋体" w:hAnsi="宋体" w:cs="宋体"/>
                <w:b/>
                <w:bCs/>
              </w:rPr>
              <w:t>年</w:t>
            </w:r>
            <w:r>
              <w:rPr>
                <w:rFonts w:hint="eastAsia" w:ascii="宋体" w:hAnsi="宋体" w:cs="宋体"/>
                <w:b/>
                <w:bCs/>
                <w:lang w:val="en-US" w:eastAsia="zh-CN"/>
              </w:rPr>
              <w:t>10</w:t>
            </w:r>
            <w:r>
              <w:rPr>
                <w:rFonts w:hint="eastAsia" w:ascii="宋体" w:hAnsi="宋体" w:cs="宋体"/>
                <w:b/>
                <w:bCs/>
              </w:rPr>
              <w:t>月</w:t>
            </w:r>
            <w:r>
              <w:rPr>
                <w:rFonts w:hint="eastAsia" w:ascii="宋体" w:hAnsi="宋体" w:cs="宋体"/>
                <w:b/>
                <w:bCs/>
                <w:lang w:val="en-US" w:eastAsia="zh-CN"/>
              </w:rPr>
              <w:t>22</w:t>
            </w:r>
            <w:r>
              <w:rPr>
                <w:rFonts w:hint="eastAsia" w:ascii="宋体" w:hAnsi="宋体" w:cs="宋体"/>
                <w:b/>
                <w:bCs/>
              </w:rPr>
              <w:t>日8:30至202</w:t>
            </w:r>
            <w:r>
              <w:rPr>
                <w:rFonts w:hint="eastAsia" w:ascii="宋体" w:hAnsi="宋体" w:cs="宋体"/>
                <w:b/>
                <w:bCs/>
                <w:lang w:val="en-US" w:eastAsia="zh-CN"/>
              </w:rPr>
              <w:t>5年10月28</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本周期确认日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5</w:t>
            </w:r>
            <w:r>
              <w:rPr>
                <w:rFonts w:hint="eastAsia" w:ascii="宋体" w:hAnsi="宋体" w:cs="宋体"/>
                <w:b/>
                <w:bCs/>
              </w:rPr>
              <w:t>年</w:t>
            </w:r>
            <w:r>
              <w:rPr>
                <w:rFonts w:hint="eastAsia" w:ascii="宋体" w:hAnsi="宋体" w:cs="宋体"/>
                <w:b/>
                <w:bCs/>
                <w:lang w:val="en-US" w:eastAsia="zh-CN"/>
              </w:rPr>
              <w:t>10月29</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7</w:t>
            </w:r>
            <w:r>
              <w:rPr>
                <w:rFonts w:hint="eastAsia" w:ascii="宋体" w:hAnsi="宋体" w:cs="宋体"/>
                <w:b/>
                <w:bCs/>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rPr>
            </w:pPr>
            <w:r>
              <w:rPr>
                <w:rFonts w:hint="eastAsia" w:ascii="宋体" w:hAnsi="宋体" w:cs="宋体"/>
                <w:b/>
                <w:bCs/>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rPr>
            </w:pPr>
            <w:r>
              <w:rPr>
                <w:rFonts w:hint="eastAsia" w:ascii="宋体" w:hAnsi="宋体" w:cs="宋体"/>
                <w:b/>
                <w:bCs/>
                <w:lang w:val="en-US" w:eastAsia="zh-CN"/>
              </w:rPr>
              <w:t>1.75%-1.95</w:t>
            </w:r>
            <w:r>
              <w:rPr>
                <w:rFonts w:hint="eastAsia" w:ascii="宋体" w:hAnsi="宋体" w:cs="宋体"/>
                <w:b/>
                <w:bCs/>
              </w:rPr>
              <w:t>%</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lang w:val="en-US" w:eastAsia="zh-CN"/>
              </w:rPr>
            </w:pPr>
            <w:r>
              <w:rPr>
                <w:rFonts w:hint="eastAsia" w:ascii="宋体" w:hAnsi="宋体" w:cs="宋体"/>
                <w:b/>
                <w:bCs/>
                <w:lang w:val="en-US" w:eastAsia="zh-CN"/>
              </w:rPr>
              <w:t>本投资周期募集额度</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lang w:eastAsia="zh-CN"/>
              </w:rPr>
            </w:pPr>
            <w:r>
              <w:rPr>
                <w:rFonts w:hint="eastAsia" w:ascii="宋体" w:hAnsi="宋体" w:cs="宋体"/>
                <w:b/>
                <w:bCs/>
              </w:rPr>
              <w:t>不超过</w:t>
            </w:r>
            <w:r>
              <w:rPr>
                <w:rFonts w:hint="eastAsia" w:ascii="宋体" w:hAnsi="宋体" w:cs="宋体"/>
                <w:b/>
                <w:bCs/>
                <w:lang w:val="en-US" w:eastAsia="zh-CN"/>
              </w:rPr>
              <w:t>1.5</w:t>
            </w:r>
            <w:r>
              <w:rPr>
                <w:rFonts w:hint="eastAsia" w:ascii="宋体" w:hAnsi="宋体" w:cs="宋体"/>
                <w:b/>
                <w:bCs/>
              </w:rPr>
              <w:t>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lang w:eastAsia="zh-CN"/>
              </w:rPr>
            </w:pPr>
            <w:r>
              <w:rPr>
                <w:rFonts w:hint="eastAsia" w:ascii="宋体" w:hAnsi="宋体" w:cs="宋体"/>
                <w:b/>
                <w:bCs/>
                <w:lang w:eastAsia="zh-CN"/>
              </w:rPr>
              <w:t>赎回交易</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rPr>
            </w:pPr>
            <w:r>
              <w:rPr>
                <w:rFonts w:hint="eastAsia" w:ascii="宋体" w:hAnsi="宋体" w:cs="宋体"/>
                <w:b/>
                <w:bCs/>
                <w:lang w:eastAsia="zh-CN"/>
              </w:rPr>
              <w:t>投资者</w:t>
            </w:r>
            <w:r>
              <w:rPr>
                <w:rFonts w:hint="eastAsia" w:ascii="宋体" w:hAnsi="宋体" w:cs="宋体"/>
                <w:b/>
                <w:bCs/>
              </w:rPr>
              <w:t>持有理财产品份额后</w:t>
            </w:r>
            <w:r>
              <w:rPr>
                <w:rFonts w:hint="eastAsia" w:ascii="宋体" w:hAnsi="宋体" w:cs="宋体"/>
                <w:b/>
                <w:bCs/>
                <w:lang w:eastAsia="zh-CN"/>
              </w:rPr>
              <w:t>就可发</w:t>
            </w:r>
            <w:r>
              <w:rPr>
                <w:rFonts w:hint="eastAsia" w:ascii="宋体" w:hAnsi="宋体" w:cs="宋体"/>
                <w:b/>
                <w:bCs/>
              </w:rPr>
              <w:t>起赎回交易，投资资金将于</w:t>
            </w:r>
            <w:r>
              <w:rPr>
                <w:rFonts w:hint="eastAsia" w:ascii="宋体" w:hAnsi="宋体" w:cs="宋体"/>
                <w:b/>
                <w:bCs/>
                <w:lang w:eastAsia="zh-CN"/>
              </w:rPr>
              <w:t>赎回交易成功后</w:t>
            </w:r>
            <w:r>
              <w:rPr>
                <w:rFonts w:hint="eastAsia" w:ascii="宋体" w:hAnsi="宋体" w:cs="宋体"/>
                <w:b/>
                <w:bCs/>
              </w:rPr>
              <w:t>最近一个</w:t>
            </w:r>
            <w:r>
              <w:rPr>
                <w:rFonts w:hint="eastAsia" w:ascii="宋体" w:hAnsi="宋体" w:cs="宋体"/>
                <w:b/>
                <w:bCs/>
                <w:lang w:eastAsia="zh-CN"/>
              </w:rPr>
              <w:t>产品</w:t>
            </w:r>
            <w:r>
              <w:rPr>
                <w:rFonts w:hint="eastAsia" w:ascii="宋体" w:hAnsi="宋体" w:cs="宋体"/>
                <w:b/>
                <w:bCs/>
              </w:rPr>
              <w:t>周期确认日到账</w:t>
            </w:r>
            <w:r>
              <w:rPr>
                <w:rFonts w:hint="eastAsia" w:ascii="宋体" w:hAnsi="宋体" w:cs="宋体"/>
                <w:b/>
                <w:bCs/>
                <w:lang w:eastAsia="zh-CN"/>
              </w:rPr>
              <w:t>，最晚不超过该周期确认日后</w:t>
            </w:r>
            <w:r>
              <w:rPr>
                <w:rFonts w:hint="eastAsia" w:ascii="宋体" w:hAnsi="宋体" w:cs="宋体"/>
                <w:b/>
                <w:bCs/>
                <w:lang w:val="en-US" w:eastAsia="zh-CN"/>
              </w:rPr>
              <w:t>2个工作日。若投资者未发起赎回交易或赎回交易不成功，投资</w:t>
            </w:r>
            <w:r>
              <w:rPr>
                <w:rFonts w:hint="eastAsia" w:ascii="宋体" w:hAnsi="宋体" w:cs="宋体"/>
                <w:b/>
                <w:bCs/>
              </w:rPr>
              <w:t>资金将继续滚动投资下周期。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rPr>
            </w:pPr>
            <w:r>
              <w:rPr>
                <w:rFonts w:hint="eastAsia" w:ascii="宋体" w:hAnsi="宋体" w:cs="宋体"/>
                <w:b/>
                <w:bCs/>
              </w:rPr>
              <w:t>下一开放期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rPr>
            </w:pPr>
            <w:r>
              <w:rPr>
                <w:rFonts w:hint="eastAsia" w:ascii="宋体" w:hAnsi="宋体" w:cs="宋体"/>
                <w:b/>
                <w:bCs/>
              </w:rPr>
              <w:t>202</w:t>
            </w:r>
            <w:r>
              <w:rPr>
                <w:rFonts w:hint="eastAsia" w:ascii="宋体" w:hAnsi="宋体" w:cs="宋体"/>
                <w:b/>
                <w:bCs/>
                <w:lang w:val="en-US" w:eastAsia="zh-CN"/>
              </w:rPr>
              <w:t>5</w:t>
            </w:r>
            <w:r>
              <w:rPr>
                <w:rFonts w:hint="eastAsia" w:ascii="宋体" w:hAnsi="宋体" w:cs="宋体"/>
                <w:b/>
                <w:bCs/>
              </w:rPr>
              <w:t>年</w:t>
            </w:r>
            <w:r>
              <w:rPr>
                <w:rFonts w:hint="eastAsia" w:ascii="宋体" w:hAnsi="宋体" w:cs="宋体"/>
                <w:b/>
                <w:bCs/>
                <w:lang w:val="en-US" w:eastAsia="zh-CN"/>
              </w:rPr>
              <w:t>10</w:t>
            </w:r>
            <w:r>
              <w:rPr>
                <w:rFonts w:hint="eastAsia" w:ascii="宋体" w:hAnsi="宋体" w:cs="宋体"/>
                <w:b/>
                <w:bCs/>
              </w:rPr>
              <w:t>月</w:t>
            </w:r>
            <w:r>
              <w:rPr>
                <w:rFonts w:hint="eastAsia" w:ascii="宋体" w:hAnsi="宋体" w:cs="宋体"/>
                <w:b/>
                <w:bCs/>
                <w:lang w:val="en-US" w:eastAsia="zh-CN"/>
              </w:rPr>
              <w:t>29</w:t>
            </w:r>
            <w:r>
              <w:rPr>
                <w:rFonts w:hint="eastAsia" w:ascii="宋体" w:hAnsi="宋体" w:cs="宋体"/>
                <w:b/>
                <w:bCs/>
              </w:rPr>
              <w:t>日8:30至202</w:t>
            </w:r>
            <w:r>
              <w:rPr>
                <w:rFonts w:hint="eastAsia" w:ascii="宋体" w:hAnsi="宋体" w:cs="宋体"/>
                <w:b/>
                <w:bCs/>
                <w:lang w:val="en-US" w:eastAsia="zh-CN"/>
              </w:rPr>
              <w:t>5</w:t>
            </w:r>
            <w:r>
              <w:rPr>
                <w:rFonts w:hint="eastAsia" w:ascii="宋体" w:hAnsi="宋体" w:cs="宋体"/>
                <w:b/>
                <w:bCs/>
              </w:rPr>
              <w:t>年</w:t>
            </w:r>
            <w:r>
              <w:rPr>
                <w:rFonts w:hint="eastAsia" w:ascii="宋体" w:hAnsi="宋体" w:cs="宋体"/>
                <w:b/>
                <w:bCs/>
                <w:lang w:val="en-US" w:eastAsia="zh-CN"/>
              </w:rPr>
              <w:t>11</w:t>
            </w:r>
            <w:r>
              <w:rPr>
                <w:rFonts w:hint="eastAsia" w:ascii="宋体" w:hAnsi="宋体" w:cs="宋体"/>
                <w:b/>
                <w:bCs/>
              </w:rPr>
              <w:t>月</w:t>
            </w:r>
            <w:r>
              <w:rPr>
                <w:rFonts w:hint="eastAsia" w:ascii="宋体" w:hAnsi="宋体" w:cs="宋体"/>
                <w:b/>
                <w:bCs/>
                <w:lang w:val="en-US" w:eastAsia="zh-CN"/>
              </w:rPr>
              <w:t>4</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下一周期确认日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5</w:t>
            </w:r>
            <w:r>
              <w:rPr>
                <w:rFonts w:hint="eastAsia" w:ascii="宋体" w:hAnsi="宋体" w:cs="宋体"/>
                <w:b/>
                <w:bCs/>
              </w:rPr>
              <w:t>年</w:t>
            </w:r>
            <w:r>
              <w:rPr>
                <w:rFonts w:hint="eastAsia" w:ascii="宋体" w:hAnsi="宋体" w:cs="宋体"/>
                <w:b/>
                <w:bCs/>
                <w:lang w:val="en-US" w:eastAsia="zh-CN"/>
              </w:rPr>
              <w:t>11</w:t>
            </w:r>
            <w:r>
              <w:rPr>
                <w:rFonts w:hint="eastAsia" w:ascii="宋体" w:hAnsi="宋体" w:cs="宋体"/>
                <w:b/>
                <w:bCs/>
              </w:rPr>
              <w:t>月</w:t>
            </w:r>
            <w:r>
              <w:rPr>
                <w:rFonts w:hint="eastAsia" w:ascii="宋体" w:hAnsi="宋体" w:cs="宋体"/>
                <w:b/>
                <w:bCs/>
                <w:lang w:val="en-US" w:eastAsia="zh-CN"/>
              </w:rPr>
              <w:t>5</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巨额赎回比例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20%</w:t>
            </w:r>
            <w:bookmarkStart w:id="3" w:name="_GoBack"/>
            <w:bookmarkEnd w:id="3"/>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泰安银行各营业网点、网上银行及手机银行客户端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eastAsia="宋体" w:cs="宋体"/>
                <w:b/>
                <w:bCs/>
                <w:lang w:eastAsia="zh-CN"/>
              </w:rPr>
            </w:pPr>
          </w:p>
        </w:tc>
      </w:tr>
    </w:tbl>
    <w:p>
      <w:pPr>
        <w:ind w:firstLine="420"/>
        <w:rPr>
          <w:rFonts w:hint="eastAsia" w:ascii="宋体" w:hAnsi="宋体" w:cs="宋体"/>
          <w:b/>
          <w:szCs w:val="30"/>
        </w:rPr>
      </w:pPr>
    </w:p>
    <w:p>
      <w:pPr>
        <w:ind w:firstLine="420"/>
        <w:rPr>
          <w:rFonts w:ascii="宋体" w:hAnsi="宋体" w:cs="宋体"/>
          <w:b/>
          <w:szCs w:val="30"/>
        </w:rPr>
      </w:pPr>
      <w:r>
        <w:rPr>
          <w:rFonts w:hint="eastAsia" w:ascii="宋体" w:hAnsi="宋体" w:cs="宋体"/>
          <w:b/>
          <w:szCs w:val="30"/>
        </w:rPr>
        <w:t>特别提示：</w:t>
      </w:r>
    </w:p>
    <w:p>
      <w:pPr>
        <w:spacing w:line="360" w:lineRule="auto"/>
        <w:ind w:firstLine="420"/>
        <w:rPr>
          <w:rFonts w:ascii="宋体" w:hAnsi="宋体" w:cs="宋体"/>
          <w:szCs w:val="30"/>
        </w:rPr>
      </w:pPr>
      <w:r>
        <w:rPr>
          <w:rFonts w:hint="eastAsia" w:ascii="宋体" w:hAnsi="宋体" w:cs="宋体"/>
          <w:szCs w:val="30"/>
        </w:rPr>
        <w:t>1、本募集期认购/投资周期开放申购要素表是理财产品说明书不可分割之组成部分。</w:t>
      </w:r>
    </w:p>
    <w:p>
      <w:pPr>
        <w:snapToGrid w:val="0"/>
        <w:spacing w:line="360" w:lineRule="auto"/>
        <w:ind w:firstLine="420" w:firstLineChars="200"/>
        <w:rPr>
          <w:rFonts w:ascii="宋体" w:hAnsi="宋体" w:cs="宋体"/>
          <w:szCs w:val="30"/>
        </w:rPr>
      </w:pPr>
      <w:r>
        <w:rPr>
          <w:rFonts w:hint="eastAsia" w:ascii="宋体" w:hAnsi="宋体" w:cs="宋体"/>
          <w:szCs w:val="30"/>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ascii="宋体" w:hAnsi="宋体" w:cs="宋体"/>
          <w:szCs w:val="21"/>
        </w:rPr>
      </w:pPr>
    </w:p>
    <w:p>
      <w:pPr>
        <w:adjustRightInd w:val="0"/>
        <w:snapToGrid w:val="0"/>
        <w:spacing w:line="360" w:lineRule="auto"/>
        <w:ind w:right="26"/>
        <w:jc w:val="left"/>
        <w:rPr>
          <w:rFonts w:ascii="宋体" w:hAnsi="宋体" w:cs="宋体"/>
          <w:b/>
          <w:szCs w:val="21"/>
        </w:rPr>
      </w:pPr>
      <w:r>
        <w:rPr>
          <w:rFonts w:hint="eastAsia" w:ascii="宋体" w:hAnsi="宋体" w:cs="宋体"/>
          <w:b/>
          <w:szCs w:val="21"/>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ascii="宋体" w:hAnsi="宋体" w:cs="宋体"/>
          <w:szCs w:val="21"/>
        </w:rPr>
      </w:pPr>
      <w:r>
        <w:rPr>
          <w:rFonts w:hint="eastAsia" w:ascii="宋体" w:hAnsi="宋体" w:cs="宋体"/>
          <w:szCs w:val="21"/>
        </w:rPr>
        <w:t xml:space="preserve"> 客户签字确认：</w:t>
      </w:r>
    </w:p>
    <w:p>
      <w:pPr>
        <w:widowControl/>
        <w:adjustRightInd w:val="0"/>
        <w:snapToGrid w:val="0"/>
        <w:spacing w:line="360" w:lineRule="auto"/>
        <w:ind w:left="3431" w:leftChars="1634" w:firstLine="1365" w:firstLineChars="650"/>
        <w:jc w:val="left"/>
        <w:rPr>
          <w:rFonts w:ascii="宋体" w:hAnsi="宋体" w:cs="宋体"/>
          <w:szCs w:val="21"/>
        </w:rPr>
      </w:pPr>
    </w:p>
    <w:p>
      <w:pPr>
        <w:widowControl/>
        <w:adjustRightInd w:val="0"/>
        <w:snapToGrid w:val="0"/>
        <w:spacing w:line="360" w:lineRule="auto"/>
        <w:ind w:firstLine="600"/>
        <w:jc w:val="left"/>
        <w:rPr>
          <w:rFonts w:ascii="宋体" w:hAnsi="宋体" w:cs="宋体"/>
          <w:szCs w:val="21"/>
        </w:rPr>
      </w:pPr>
      <w:r>
        <w:rPr>
          <w:rFonts w:hint="eastAsia" w:ascii="宋体" w:hAnsi="宋体" w:cs="宋体"/>
          <w:szCs w:val="21"/>
        </w:rPr>
        <w:t xml:space="preserve">                                         日        期：    年   月   日</w:t>
      </w:r>
    </w:p>
    <w:p>
      <w:pPr>
        <w:snapToGrid w:val="0"/>
      </w:pPr>
      <w:r>
        <w:rPr>
          <w:rFonts w:hint="eastAsia" w:ascii="宋体" w:hAnsi="宋体" w:cs="宋体"/>
          <w:szCs w:val="21"/>
        </w:rPr>
        <w:t>（本说明书一式两份，一份银行留存，一份客户留存）</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61026B1A"/>
    <w:multiLevelType w:val="singleLevel"/>
    <w:tmpl w:val="61026B1A"/>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3909E7"/>
    <w:rsid w:val="09F73AAA"/>
    <w:rsid w:val="28631E9F"/>
    <w:rsid w:val="2877472E"/>
    <w:rsid w:val="29164971"/>
    <w:rsid w:val="29D6789A"/>
    <w:rsid w:val="2D0456A2"/>
    <w:rsid w:val="2E8D2440"/>
    <w:rsid w:val="34DB292F"/>
    <w:rsid w:val="34E2273F"/>
    <w:rsid w:val="379803C6"/>
    <w:rsid w:val="3FF92710"/>
    <w:rsid w:val="44480EC7"/>
    <w:rsid w:val="55D026DE"/>
    <w:rsid w:val="5663671F"/>
    <w:rsid w:val="5BFE69E1"/>
    <w:rsid w:val="61AD16E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3">
    <w:name w:val="annotation text"/>
    <w:basedOn w:val="1"/>
    <w:link w:val="33"/>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25"/>
    <w:qFormat/>
    <w:uiPriority w:val="0"/>
    <w:rPr>
      <w:sz w:val="18"/>
      <w:szCs w:val="18"/>
    </w:rPr>
  </w:style>
  <w:style w:type="paragraph" w:styleId="7">
    <w:name w:val="footer"/>
    <w:basedOn w:val="1"/>
    <w:link w:val="27"/>
    <w:qFormat/>
    <w:uiPriority w:val="99"/>
    <w:pPr>
      <w:tabs>
        <w:tab w:val="center" w:pos="4153"/>
        <w:tab w:val="right" w:pos="8306"/>
      </w:tabs>
      <w:snapToGrid w:val="0"/>
      <w:jc w:val="left"/>
    </w:pPr>
    <w:rPr>
      <w:sz w:val="18"/>
      <w:szCs w:val="18"/>
    </w:rPr>
  </w:style>
  <w:style w:type="paragraph" w:styleId="8">
    <w:name w:val="header"/>
    <w:basedOn w:val="1"/>
    <w:link w:val="26"/>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paragraph" w:styleId="10">
    <w:name w:val="annotation subject"/>
    <w:basedOn w:val="3"/>
    <w:next w:val="3"/>
    <w:link w:val="34"/>
    <w:qFormat/>
    <w:uiPriority w:val="0"/>
    <w:rPr>
      <w:b/>
      <w:bCs/>
    </w:rPr>
  </w:style>
  <w:style w:type="character" w:styleId="13">
    <w:name w:val="Hyperlink"/>
    <w:basedOn w:val="12"/>
    <w:qFormat/>
    <w:uiPriority w:val="0"/>
    <w:rPr>
      <w:color w:val="0000FF"/>
      <w:u w:val="single"/>
    </w:rPr>
  </w:style>
  <w:style w:type="character" w:styleId="14">
    <w:name w:val="annotation reference"/>
    <w:basedOn w:val="12"/>
    <w:qFormat/>
    <w:uiPriority w:val="0"/>
    <w:rPr>
      <w:sz w:val="21"/>
      <w:szCs w:val="21"/>
    </w:rPr>
  </w:style>
  <w:style w:type="paragraph" w:customStyle="1" w:styleId="15">
    <w:name w:val="Table Paragraph"/>
    <w:basedOn w:val="1"/>
    <w:qFormat/>
    <w:uiPriority w:val="1"/>
    <w:pPr>
      <w:spacing w:before="99"/>
      <w:ind w:left="107"/>
    </w:pPr>
    <w:rPr>
      <w:rFonts w:ascii="宋体" w:hAnsi="宋体" w:cs="宋体"/>
      <w:lang w:val="zh-CN" w:bidi="zh-CN"/>
    </w:rPr>
  </w:style>
  <w:style w:type="paragraph" w:customStyle="1" w:styleId="16">
    <w:name w:val="列出段落1"/>
    <w:basedOn w:val="1"/>
    <w:qFormat/>
    <w:uiPriority w:val="1"/>
    <w:pPr>
      <w:ind w:left="755" w:hanging="214"/>
    </w:pPr>
    <w:rPr>
      <w:rFonts w:ascii="微软雅黑" w:hAnsi="微软雅黑" w:eastAsia="微软雅黑" w:cs="微软雅黑"/>
      <w:lang w:val="zh-CN" w:bidi="zh-CN"/>
    </w:rPr>
  </w:style>
  <w:style w:type="paragraph" w:customStyle="1" w:styleId="17">
    <w:name w:val="标题 #2"/>
    <w:basedOn w:val="1"/>
    <w:link w:val="29"/>
    <w:qFormat/>
    <w:uiPriority w:val="0"/>
    <w:pPr>
      <w:shd w:val="clear" w:color="auto" w:fill="FFFFFF"/>
      <w:spacing w:line="408" w:lineRule="exact"/>
      <w:jc w:val="distribute"/>
      <w:outlineLvl w:val="1"/>
    </w:pPr>
    <w:rPr>
      <w:rFonts w:ascii="微软雅黑" w:hAnsi="微软雅黑" w:eastAsia="微软雅黑" w:cs="微软雅黑"/>
      <w:kern w:val="0"/>
      <w:szCs w:val="21"/>
    </w:rPr>
  </w:style>
  <w:style w:type="paragraph" w:customStyle="1" w:styleId="18">
    <w:name w:val="正文文本 (2)"/>
    <w:basedOn w:val="1"/>
    <w:link w:val="30"/>
    <w:qFormat/>
    <w:uiPriority w:val="0"/>
    <w:pPr>
      <w:shd w:val="clear" w:color="auto" w:fill="FFFFFF"/>
      <w:spacing w:line="408" w:lineRule="exact"/>
      <w:jc w:val="left"/>
    </w:pPr>
    <w:rPr>
      <w:rFonts w:ascii="微软雅黑" w:hAnsi="微软雅黑" w:eastAsia="微软雅黑" w:cs="微软雅黑"/>
      <w:spacing w:val="10"/>
      <w:kern w:val="0"/>
      <w:sz w:val="20"/>
      <w:szCs w:val="20"/>
    </w:rPr>
  </w:style>
  <w:style w:type="paragraph" w:customStyle="1" w:styleId="19">
    <w:name w:val="正文文本 (3)"/>
    <w:basedOn w:val="1"/>
    <w:link w:val="31"/>
    <w:qFormat/>
    <w:uiPriority w:val="0"/>
    <w:pPr>
      <w:shd w:val="clear" w:color="auto" w:fill="FFFFFF"/>
      <w:spacing w:before="960" w:line="408" w:lineRule="exact"/>
      <w:jc w:val="left"/>
    </w:pPr>
    <w:rPr>
      <w:rFonts w:ascii="微软雅黑" w:hAnsi="微软雅黑" w:eastAsia="微软雅黑" w:cs="微软雅黑"/>
      <w:kern w:val="0"/>
      <w:szCs w:val="21"/>
    </w:rPr>
  </w:style>
  <w:style w:type="paragraph" w:customStyle="1" w:styleId="20">
    <w:name w:val="修订1"/>
    <w:hidden/>
    <w:semiHidden/>
    <w:qFormat/>
    <w:uiPriority w:val="99"/>
    <w:rPr>
      <w:rFonts w:ascii="Calibri" w:hAnsi="Calibri" w:eastAsia="宋体" w:cs="黑体"/>
      <w:kern w:val="2"/>
      <w:sz w:val="21"/>
      <w:szCs w:val="24"/>
      <w:lang w:val="en-US" w:eastAsia="zh-CN" w:bidi="ar-SA"/>
    </w:rPr>
  </w:style>
  <w:style w:type="paragraph" w:customStyle="1" w:styleId="21">
    <w:name w:val="Revision"/>
    <w:hidden/>
    <w:semiHidden/>
    <w:qFormat/>
    <w:uiPriority w:val="99"/>
    <w:rPr>
      <w:rFonts w:ascii="Calibri" w:hAnsi="Calibri" w:eastAsia="宋体" w:cs="黑体"/>
      <w:kern w:val="2"/>
      <w:sz w:val="21"/>
      <w:szCs w:val="24"/>
      <w:lang w:val="en-US" w:eastAsia="zh-CN" w:bidi="ar-SA"/>
    </w:rPr>
  </w:style>
  <w:style w:type="character" w:customStyle="1" w:styleId="22">
    <w:name w:val="10"/>
    <w:basedOn w:val="12"/>
    <w:qFormat/>
    <w:uiPriority w:val="0"/>
    <w:rPr>
      <w:rFonts w:hint="default" w:ascii="Times New Roman" w:hAnsi="Times New Roman" w:cs="Times New Roman"/>
    </w:rPr>
  </w:style>
  <w:style w:type="character" w:customStyle="1" w:styleId="23">
    <w:name w:val="16"/>
    <w:basedOn w:val="12"/>
    <w:qFormat/>
    <w:uiPriority w:val="0"/>
    <w:rPr>
      <w:rFonts w:hint="default" w:ascii="Times New Roman" w:hAnsi="Times New Roman" w:cs="Times New Roman"/>
      <w:kern w:val="2"/>
      <w:sz w:val="18"/>
      <w:szCs w:val="18"/>
    </w:rPr>
  </w:style>
  <w:style w:type="character" w:customStyle="1" w:styleId="24">
    <w:name w:val="15"/>
    <w:basedOn w:val="12"/>
    <w:qFormat/>
    <w:uiPriority w:val="0"/>
    <w:rPr>
      <w:rFonts w:hint="default" w:ascii="Times New Roman" w:hAnsi="Times New Roman" w:cs="Times New Roman"/>
    </w:rPr>
  </w:style>
  <w:style w:type="character" w:customStyle="1" w:styleId="25">
    <w:name w:val="批注框文本 Char"/>
    <w:basedOn w:val="12"/>
    <w:link w:val="6"/>
    <w:qFormat/>
    <w:uiPriority w:val="0"/>
    <w:rPr>
      <w:rFonts w:ascii="Calibri" w:hAnsi="Calibri" w:eastAsia="宋体" w:cs="黑体"/>
      <w:kern w:val="2"/>
      <w:sz w:val="18"/>
      <w:szCs w:val="18"/>
    </w:rPr>
  </w:style>
  <w:style w:type="character" w:customStyle="1" w:styleId="26">
    <w:name w:val="页眉 Char"/>
    <w:basedOn w:val="12"/>
    <w:link w:val="8"/>
    <w:qFormat/>
    <w:uiPriority w:val="99"/>
    <w:rPr>
      <w:rFonts w:ascii="Calibri" w:hAnsi="Calibri" w:eastAsia="宋体" w:cs="黑体"/>
      <w:kern w:val="2"/>
      <w:sz w:val="18"/>
      <w:szCs w:val="18"/>
    </w:rPr>
  </w:style>
  <w:style w:type="character" w:customStyle="1" w:styleId="27">
    <w:name w:val="页脚 Char"/>
    <w:basedOn w:val="12"/>
    <w:link w:val="7"/>
    <w:qFormat/>
    <w:uiPriority w:val="99"/>
    <w:rPr>
      <w:rFonts w:ascii="Calibri" w:hAnsi="Calibri" w:eastAsia="宋体" w:cs="黑体"/>
      <w:kern w:val="2"/>
      <w:sz w:val="18"/>
      <w:szCs w:val="18"/>
    </w:rPr>
  </w:style>
  <w:style w:type="character" w:customStyle="1" w:styleId="28">
    <w:name w:val="标题 #2 + 10 pt"/>
    <w:basedOn w:val="12"/>
    <w:qFormat/>
    <w:uiPriority w:val="0"/>
    <w:rPr>
      <w:rFonts w:ascii="微软雅黑" w:hAnsi="微软雅黑" w:eastAsia="微软雅黑" w:cs="微软雅黑"/>
      <w:color w:val="000000"/>
      <w:spacing w:val="10"/>
      <w:w w:val="100"/>
      <w:position w:val="0"/>
      <w:sz w:val="20"/>
      <w:szCs w:val="20"/>
      <w:u w:val="none"/>
      <w:lang w:val="zh-CN" w:eastAsia="zh-CN" w:bidi="zh-CN"/>
    </w:rPr>
  </w:style>
  <w:style w:type="character" w:customStyle="1" w:styleId="29">
    <w:name w:val="标题 #2_"/>
    <w:basedOn w:val="12"/>
    <w:link w:val="17"/>
    <w:qFormat/>
    <w:uiPriority w:val="0"/>
    <w:rPr>
      <w:rFonts w:ascii="微软雅黑" w:hAnsi="微软雅黑" w:eastAsia="微软雅黑" w:cs="微软雅黑"/>
      <w:sz w:val="21"/>
      <w:szCs w:val="21"/>
      <w:shd w:val="clear" w:color="auto" w:fill="FFFFFF"/>
    </w:rPr>
  </w:style>
  <w:style w:type="character" w:customStyle="1" w:styleId="30">
    <w:name w:val="正文文本 (2)_"/>
    <w:basedOn w:val="12"/>
    <w:link w:val="18"/>
    <w:qFormat/>
    <w:uiPriority w:val="0"/>
    <w:rPr>
      <w:rFonts w:ascii="微软雅黑" w:hAnsi="微软雅黑" w:eastAsia="微软雅黑" w:cs="微软雅黑"/>
      <w:spacing w:val="10"/>
      <w:shd w:val="clear" w:color="auto" w:fill="FFFFFF"/>
    </w:rPr>
  </w:style>
  <w:style w:type="character" w:customStyle="1" w:styleId="31">
    <w:name w:val="正文文本 (3)_"/>
    <w:basedOn w:val="12"/>
    <w:link w:val="19"/>
    <w:qFormat/>
    <w:uiPriority w:val="0"/>
    <w:rPr>
      <w:rFonts w:ascii="微软雅黑" w:hAnsi="微软雅黑" w:eastAsia="微软雅黑" w:cs="微软雅黑"/>
      <w:sz w:val="21"/>
      <w:szCs w:val="21"/>
      <w:shd w:val="clear" w:color="auto" w:fill="FFFFFF"/>
    </w:rPr>
  </w:style>
  <w:style w:type="character" w:customStyle="1" w:styleId="32">
    <w:name w:val="正文文本 (2) + 10.5 pt"/>
    <w:basedOn w:val="30"/>
    <w:qFormat/>
    <w:uiPriority w:val="0"/>
    <w:rPr>
      <w:color w:val="000000"/>
      <w:spacing w:val="-20"/>
      <w:w w:val="100"/>
      <w:position w:val="0"/>
      <w:sz w:val="21"/>
      <w:szCs w:val="21"/>
      <w:u w:val="none"/>
      <w:lang w:val="zh-CN" w:eastAsia="zh-CN" w:bidi="zh-CN"/>
    </w:rPr>
  </w:style>
  <w:style w:type="character" w:customStyle="1" w:styleId="33">
    <w:name w:val="批注文字 Char"/>
    <w:basedOn w:val="12"/>
    <w:link w:val="3"/>
    <w:qFormat/>
    <w:uiPriority w:val="0"/>
    <w:rPr>
      <w:rFonts w:ascii="Calibri" w:hAnsi="Calibri" w:cs="黑体"/>
      <w:kern w:val="2"/>
      <w:sz w:val="21"/>
      <w:szCs w:val="24"/>
    </w:rPr>
  </w:style>
  <w:style w:type="character" w:customStyle="1" w:styleId="34">
    <w:name w:val="批注主题 Char"/>
    <w:basedOn w:val="33"/>
    <w:link w:val="10"/>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13</Pages>
  <Words>11151</Words>
  <Characters>12097</Characters>
  <Lines>90</Lines>
  <Paragraphs>25</Paragraphs>
  <TotalTime>1</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cp:lastPrinted>2022-04-26T02:24:00Z</cp:lastPrinted>
  <dcterms:modified xsi:type="dcterms:W3CDTF">2025-10-16T06:36:44Z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