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2号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参考年化收益率）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5、本行提醒投资者关注，业绩比较基准（参考年化收益率）并不代表实际收益率，亦不构成泰安银行对本期理财产品的任何收益承诺。最终收益率实现将视市场情况等因素而定。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9、本期理财产品在产品成立日至产品到期日期间，不支持投资者赎回。理财产品到期后自动兑付。</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0"/>
        <w:tblW w:w="940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2号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034</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ind w:left="0" w:leftChars="0" w:firstLine="0" w:firstLineChars="0"/>
              <w:rPr>
                <w:szCs w:val="21"/>
                <w:lang w:val="en-US"/>
              </w:rPr>
            </w:pPr>
            <w:r>
              <w:rPr>
                <w:rFonts w:hint="eastAsia"/>
                <w:szCs w:val="21"/>
                <w:lang w:val="en-US"/>
              </w:rPr>
              <w:t>2020年06月03日08:30至2020年06月09日17:30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2020年06月10日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2030年6月12日（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hint="eastAsia"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0"/>
        <w:tblW w:w="95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0"/>
        <w:tblW w:w="8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4"/>
        <w:gridCol w:w="2430"/>
        <w:gridCol w:w="1320"/>
        <w:gridCol w:w="1065"/>
        <w:gridCol w:w="1560"/>
        <w:gridCol w:w="1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594"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序号</w:t>
            </w:r>
          </w:p>
        </w:tc>
        <w:tc>
          <w:tcPr>
            <w:tcW w:w="243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募集期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（申购开放期）</w:t>
            </w:r>
          </w:p>
        </w:tc>
        <w:tc>
          <w:tcPr>
            <w:tcW w:w="132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成立日</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（周期确认日）</w:t>
            </w:r>
          </w:p>
        </w:tc>
        <w:tc>
          <w:tcPr>
            <w:tcW w:w="1065" w:type="dxa"/>
            <w:vAlign w:val="center"/>
          </w:tcPr>
          <w:p>
            <w:pPr>
              <w:snapToGrid w:val="0"/>
              <w:spacing w:line="360" w:lineRule="auto"/>
              <w:jc w:val="center"/>
              <w:rPr>
                <w:rFonts w:hint="eastAsia" w:ascii="宋体" w:hAnsi="宋体" w:cs="宋体"/>
                <w:b/>
                <w:szCs w:val="21"/>
                <w:highlight w:val="none"/>
              </w:rPr>
            </w:pPr>
            <w:r>
              <w:rPr>
                <w:rFonts w:hint="eastAsia" w:ascii="宋体" w:hAnsi="宋体" w:cs="宋体"/>
                <w:b/>
                <w:szCs w:val="21"/>
                <w:highlight w:val="none"/>
              </w:rPr>
              <w:t>投资周期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天数</w:t>
            </w:r>
          </w:p>
        </w:tc>
        <w:tc>
          <w:tcPr>
            <w:tcW w:w="1560" w:type="dxa"/>
            <w:vAlign w:val="center"/>
          </w:tcPr>
          <w:p>
            <w:pPr>
              <w:snapToGrid w:val="0"/>
              <w:spacing w:line="360" w:lineRule="auto"/>
              <w:jc w:val="center"/>
              <w:rPr>
                <w:rFonts w:hint="eastAsia" w:ascii="宋体" w:hAnsi="宋体" w:cs="宋体"/>
                <w:b/>
                <w:szCs w:val="21"/>
                <w:highlight w:val="none"/>
                <w:lang w:eastAsia="zh-CN"/>
              </w:rPr>
            </w:pPr>
            <w:r>
              <w:rPr>
                <w:rFonts w:hint="eastAsia" w:ascii="宋体" w:hAnsi="宋体" w:cs="宋体"/>
                <w:b/>
                <w:szCs w:val="21"/>
                <w:highlight w:val="none"/>
                <w:lang w:eastAsia="zh-CN"/>
              </w:rPr>
              <w:t>投资周期</w:t>
            </w:r>
          </w:p>
          <w:p>
            <w:pPr>
              <w:snapToGrid w:val="0"/>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终止日</w:t>
            </w:r>
          </w:p>
        </w:tc>
        <w:tc>
          <w:tcPr>
            <w:tcW w:w="1551"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94"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30" w:type="dxa"/>
            <w:vAlign w:val="center"/>
          </w:tcPr>
          <w:p>
            <w:pPr>
              <w:snapToGrid w:val="0"/>
              <w:spacing w:line="360" w:lineRule="auto"/>
              <w:jc w:val="center"/>
              <w:rPr>
                <w:rFonts w:ascii="宋体" w:hAnsi="宋体" w:cs="宋体"/>
                <w:szCs w:val="21"/>
              </w:rPr>
            </w:pPr>
            <w:r>
              <w:rPr>
                <w:rFonts w:hint="eastAsia" w:ascii="宋体" w:hAnsi="宋体" w:cs="宋体"/>
                <w:szCs w:val="21"/>
              </w:rPr>
              <w:t>2020.6.3-2020.6.9</w:t>
            </w:r>
          </w:p>
        </w:tc>
        <w:tc>
          <w:tcPr>
            <w:tcW w:w="1320" w:type="dxa"/>
            <w:vAlign w:val="center"/>
          </w:tcPr>
          <w:p>
            <w:pPr>
              <w:snapToGrid w:val="0"/>
              <w:spacing w:line="360" w:lineRule="auto"/>
              <w:jc w:val="center"/>
              <w:rPr>
                <w:rFonts w:ascii="宋体" w:hAnsi="宋体" w:cs="宋体"/>
                <w:szCs w:val="21"/>
              </w:rPr>
            </w:pPr>
            <w:r>
              <w:rPr>
                <w:rFonts w:hint="eastAsia" w:ascii="宋体" w:hAnsi="宋体" w:cs="宋体"/>
                <w:szCs w:val="21"/>
              </w:rPr>
              <w:t>2020.6.10</w:t>
            </w:r>
          </w:p>
        </w:tc>
        <w:tc>
          <w:tcPr>
            <w:tcW w:w="1065" w:type="dxa"/>
            <w:vAlign w:val="center"/>
          </w:tcPr>
          <w:p>
            <w:pPr>
              <w:snapToGrid w:val="0"/>
              <w:spacing w:line="360" w:lineRule="auto"/>
              <w:jc w:val="center"/>
              <w:rPr>
                <w:rFonts w:ascii="宋体" w:hAnsi="宋体" w:cs="宋体"/>
                <w:szCs w:val="21"/>
              </w:rPr>
            </w:pPr>
            <w:r>
              <w:rPr>
                <w:rFonts w:hint="eastAsia" w:ascii="宋体" w:hAnsi="宋体" w:cs="宋体"/>
                <w:szCs w:val="21"/>
              </w:rPr>
              <w:t>91</w:t>
            </w:r>
          </w:p>
        </w:tc>
        <w:tc>
          <w:tcPr>
            <w:tcW w:w="1560"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2020-9-9</w:t>
            </w:r>
          </w:p>
        </w:tc>
        <w:tc>
          <w:tcPr>
            <w:tcW w:w="1551" w:type="dxa"/>
            <w:vAlign w:val="center"/>
          </w:tcPr>
          <w:p>
            <w:pPr>
              <w:snapToGrid w:val="0"/>
              <w:spacing w:line="360" w:lineRule="auto"/>
              <w:jc w:val="center"/>
              <w:rPr>
                <w:rFonts w:ascii="宋体" w:hAnsi="宋体" w:cs="宋体"/>
                <w:szCs w:val="21"/>
              </w:rPr>
            </w:pPr>
            <w:r>
              <w:rPr>
                <w:rFonts w:hint="eastAsia" w:ascii="宋体" w:hAnsi="宋体" w:cs="宋体"/>
                <w:szCs w:val="21"/>
              </w:rPr>
              <w:t>4.15%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9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5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2025.5.13-2025.5.18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ascii="Arial" w:hAnsi="Arial" w:eastAsia="宋体" w:cs="Arial"/>
                <w:i w:val="0"/>
                <w:color w:val="auto"/>
                <w:sz w:val="20"/>
                <w:szCs w:val="20"/>
                <w:u w:val="none"/>
              </w:rPr>
              <w:t>2025-9-1</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236</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2025.5.20-2025.5.25</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2025.5.26</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2025-9-8</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237</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2025.5.27-2025.6.8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238</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2025.6.10-2025.6.15</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2025.6.16</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w:t>
            </w:r>
            <w:r>
              <w:rPr>
                <w:rFonts w:hint="eastAsia" w:ascii="Arial" w:hAnsi="Arial" w:cs="Arial"/>
                <w:i w:val="0"/>
                <w:color w:val="auto"/>
                <w:sz w:val="20"/>
                <w:szCs w:val="20"/>
                <w:u w:val="none"/>
                <w:lang w:val="en-US" w:eastAsia="zh-CN"/>
              </w:rPr>
              <w:t>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239</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2025.6.17-2025.6.22</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2025.6.23</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240</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2025.6.24-2025.6.29</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2025.6.30</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2025-10-13</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241</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2025.7.1-2025.7.6</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2025.7.7</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2025-10-20</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242</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2025.7.8-2025.7.13</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2025.7.14</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2025-10-27</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243</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2025.7.15-2025.7.20</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2025-11-3</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244</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2025.7.22-2025.7.27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2025-11-10</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2025.7.29-2025.8.3</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2025.8.4</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2025-11-17</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246</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2025.8.5-2025.8.10</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eastAsia="宋体" w:cs="Arial"/>
                <w:i w:val="0"/>
                <w:color w:val="auto"/>
                <w:sz w:val="20"/>
                <w:szCs w:val="20"/>
                <w:u w:val="none"/>
                <w:lang w:val="en-US" w:eastAsia="zh-CN"/>
              </w:rPr>
              <w:t>2025-11-24</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247</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2025.8.12-2025.8.17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2025-12-1</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248</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2025.8.19-2025.8.24</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2025.8.25</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8</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249</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2025.8.26-2025.8.31</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250</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2025.9.2-2025.9.7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251</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2025.9.9-2025.9.14</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2025.9.15</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2025-12-29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252</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2025.9.16-2025.9.21</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2025.9.22</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253</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2025.9.23-2025.9.28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254</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2025.9.30-2025.10.12</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2025.10.13</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2.15%-2.55%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2025.10.14-2025.10.19</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2025.10.20</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2026-1-26</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2.15%-2.55%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256</w:t>
            </w:r>
          </w:p>
        </w:tc>
        <w:tc>
          <w:tcPr>
            <w:tcW w:w="243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2025.10.21-2025.10.26</w:t>
            </w:r>
          </w:p>
        </w:tc>
        <w:tc>
          <w:tcPr>
            <w:tcW w:w="1320"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2025.10.27</w:t>
            </w:r>
          </w:p>
        </w:tc>
        <w:tc>
          <w:tcPr>
            <w:tcW w:w="1065" w:type="dxa"/>
            <w:vAlign w:val="center"/>
          </w:tcPr>
          <w:p>
            <w:pPr>
              <w:snapToGrid w:val="0"/>
              <w:spacing w:line="360" w:lineRule="auto"/>
              <w:jc w:val="center"/>
              <w:rPr>
                <w:rFonts w:hint="default"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hint="default"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2.15%-2.55%</w:t>
            </w:r>
          </w:p>
        </w:tc>
      </w:tr>
    </w:tbl>
    <w:p>
      <w:pPr>
        <w:numPr>
          <w:ilvl w:val="0"/>
          <w:numId w:val="5"/>
        </w:num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“金紫薇”共赢B系列2号人民币理财产品</w:t>
      </w:r>
      <w:r>
        <w:rPr>
          <w:rFonts w:hint="eastAsia" w:ascii="宋体" w:hAnsi="宋体" w:cs="宋体"/>
          <w:b/>
          <w:sz w:val="28"/>
          <w:szCs w:val="36"/>
          <w:lang w:eastAsia="zh-CN"/>
        </w:rPr>
        <w:t>（贵宾专属）</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highlight w:val="none"/>
        </w:rPr>
      </w:pPr>
      <w:r>
        <w:rPr>
          <w:rFonts w:hint="eastAsia" w:ascii="宋体" w:hAnsi="宋体" w:cs="宋体"/>
          <w:szCs w:val="30"/>
          <w:highlight w:val="none"/>
        </w:rPr>
        <w:t>尊敬的投资者：</w:t>
      </w:r>
    </w:p>
    <w:p>
      <w:pPr>
        <w:spacing w:line="360" w:lineRule="auto"/>
        <w:ind w:firstLine="420"/>
        <w:rPr>
          <w:rFonts w:ascii="宋体" w:hAnsi="宋体" w:cs="宋体"/>
          <w:szCs w:val="30"/>
          <w:highlight w:val="none"/>
        </w:rPr>
      </w:pPr>
      <w:r>
        <w:rPr>
          <w:rFonts w:hint="eastAsia" w:ascii="宋体" w:hAnsi="宋体" w:cs="宋体"/>
          <w:szCs w:val="30"/>
          <w:highlight w:val="none"/>
        </w:rPr>
        <w:t>按照“金紫薇”共赢B系列</w:t>
      </w:r>
      <w:r>
        <w:rPr>
          <w:rFonts w:hint="eastAsia" w:ascii="宋体" w:hAnsi="宋体" w:cs="宋体"/>
          <w:szCs w:val="30"/>
          <w:highlight w:val="none"/>
          <w:lang w:eastAsia="zh-CN"/>
        </w:rPr>
        <w:t>2号</w:t>
      </w:r>
      <w:r>
        <w:rPr>
          <w:rFonts w:hint="eastAsia" w:ascii="宋体" w:hAnsi="宋体" w:cs="宋体"/>
          <w:szCs w:val="30"/>
          <w:highlight w:val="none"/>
        </w:rPr>
        <w:t>人民币理财产品说明书相关规定，我行将“金紫薇”共赢B系列</w:t>
      </w:r>
      <w:r>
        <w:rPr>
          <w:rFonts w:hint="eastAsia" w:ascii="宋体" w:hAnsi="宋体" w:cs="宋体"/>
          <w:szCs w:val="30"/>
          <w:highlight w:val="none"/>
          <w:lang w:eastAsia="zh-CN"/>
        </w:rPr>
        <w:t>2号</w:t>
      </w:r>
      <w:r>
        <w:rPr>
          <w:rFonts w:hint="eastAsia" w:ascii="宋体" w:hAnsi="宋体" w:cs="宋体"/>
          <w:szCs w:val="30"/>
          <w:highlight w:val="none"/>
        </w:rPr>
        <w:t>人民币理财产品投资周期申购要素表公告如下，请投资者关注：</w:t>
      </w:r>
    </w:p>
    <w:tbl>
      <w:tblPr>
        <w:tblStyle w:val="10"/>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highlight w:val="none"/>
                <w:lang w:eastAsia="zh-CN"/>
              </w:rPr>
            </w:pPr>
            <w:r>
              <w:rPr>
                <w:rFonts w:hint="eastAsia" w:ascii="宋体" w:hAnsi="宋体" w:cs="宋体"/>
                <w:b/>
                <w:bCs/>
                <w:highlight w:val="none"/>
              </w:rPr>
              <w:t>B2000</w:t>
            </w:r>
            <w:r>
              <w:rPr>
                <w:rFonts w:hint="eastAsia" w:ascii="宋体" w:hAnsi="宋体" w:cs="宋体"/>
                <w:b/>
                <w:bCs/>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21</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26</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w:t>
            </w:r>
            <w:r>
              <w:rPr>
                <w:rFonts w:hint="eastAsia" w:ascii="宋体" w:hAnsi="宋体" w:cs="宋体"/>
                <w:b/>
                <w:bCs/>
                <w:highlight w:val="none"/>
                <w:lang w:val="en-US" w:eastAsia="zh-CN"/>
              </w:rPr>
              <w:t>25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27</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2</w:t>
            </w:r>
            <w:r>
              <w:rPr>
                <w:rFonts w:hint="eastAsia" w:ascii="宋体" w:hAnsi="宋体" w:cs="宋体"/>
                <w:b/>
                <w:bCs/>
                <w:highlight w:val="none"/>
              </w:rPr>
              <w:t>月</w:t>
            </w:r>
            <w:r>
              <w:rPr>
                <w:rFonts w:hint="eastAsia" w:ascii="宋体" w:hAnsi="宋体" w:cs="宋体"/>
                <w:b/>
                <w:bCs/>
                <w:highlight w:val="none"/>
                <w:lang w:val="en-US" w:eastAsia="zh-CN"/>
              </w:rPr>
              <w:t>2</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val="en-US" w:eastAsia="zh-CN"/>
              </w:rPr>
              <w:t>98</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szCs w:val="21"/>
                <w:lang w:val="en-US" w:eastAsia="zh-CN"/>
              </w:rPr>
              <w:t>2.15%-2.55%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个人客户投资起点金额为20万元，以1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eastAsia="zh-CN"/>
              </w:rPr>
              <w:t>不超过</w:t>
            </w:r>
            <w:r>
              <w:rPr>
                <w:rFonts w:hint="eastAsia" w:ascii="宋体" w:hAnsi="宋体" w:cs="宋体"/>
                <w:b/>
                <w:bCs/>
                <w:highlight w:val="none"/>
                <w:lang w:val="en-US" w:eastAsia="zh-CN"/>
              </w:rPr>
              <w:t>3亿元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highlight w:val="none"/>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本投资周期仅限</w:t>
            </w:r>
            <w:r>
              <w:rPr>
                <w:rFonts w:hint="eastAsia" w:ascii="宋体" w:hAnsi="宋体" w:cs="宋体"/>
                <w:b/>
                <w:bCs/>
                <w:lang w:eastAsia="zh-CN"/>
              </w:rPr>
              <w:t>我行贵宾</w:t>
            </w:r>
            <w:r>
              <w:rPr>
                <w:rFonts w:hint="eastAsia" w:ascii="宋体" w:hAnsi="宋体" w:cs="宋体"/>
                <w:b/>
                <w:bCs/>
              </w:rPr>
              <w:t>个人</w:t>
            </w:r>
            <w:r>
              <w:rPr>
                <w:rFonts w:hint="eastAsia" w:ascii="宋体" w:hAnsi="宋体" w:cs="宋体"/>
                <w:b/>
                <w:bCs/>
                <w:lang w:eastAsia="zh-CN"/>
              </w:rPr>
              <w:t>、机构</w:t>
            </w:r>
            <w:r>
              <w:rPr>
                <w:rFonts w:hint="eastAsia" w:ascii="宋体" w:hAnsi="宋体" w:cs="宋体"/>
                <w:b/>
                <w:bCs/>
              </w:rPr>
              <w:t>客户购买</w:t>
            </w:r>
          </w:p>
        </w:tc>
      </w:tr>
    </w:tbl>
    <w:p>
      <w:pPr>
        <w:ind w:firstLine="420"/>
        <w:rPr>
          <w:rFonts w:hint="eastAsia" w:ascii="宋体" w:hAnsi="宋体" w:cs="宋体"/>
          <w:b/>
          <w:szCs w:val="30"/>
          <w:highlight w:val="none"/>
        </w:rPr>
      </w:pPr>
    </w:p>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hint="eastAsia"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hint="eastAsia"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adjustRightInd w:val="0"/>
        <w:snapToGrid w:val="0"/>
        <w:spacing w:line="360" w:lineRule="auto"/>
        <w:ind w:right="26"/>
        <w:jc w:val="left"/>
        <w:rPr>
          <w:rFonts w:hint="eastAsia" w:ascii="宋体" w:hAnsi="宋体" w:cs="宋体"/>
          <w:b/>
          <w:szCs w:val="21"/>
          <w:highlight w:val="none"/>
        </w:rPr>
      </w:pP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5EE6DA8D"/>
    <w:multiLevelType w:val="singleLevel"/>
    <w:tmpl w:val="5EE6DA8D"/>
    <w:lvl w:ilvl="0" w:tentative="0">
      <w:start w:val="12"/>
      <w:numFmt w:val="chineseCounting"/>
      <w:suff w:val="nothing"/>
      <w:lvlText w:val="%1、"/>
      <w:lvlJc w:val="left"/>
    </w:lvl>
  </w:abstractNum>
  <w:abstractNum w:abstractNumId="3">
    <w:nsid w:val="601CEE98"/>
    <w:multiLevelType w:val="singleLevel"/>
    <w:tmpl w:val="601CEE98"/>
    <w:lvl w:ilvl="0" w:tentative="0">
      <w:start w:val="1"/>
      <w:numFmt w:val="decimal"/>
      <w:suff w:val="nothing"/>
      <w:lvlText w:val="%1、"/>
      <w:lvlJc w:val="left"/>
    </w:lvl>
  </w:abstractNum>
  <w:abstractNum w:abstractNumId="4">
    <w:nsid w:val="61026B1A"/>
    <w:multiLevelType w:val="singleLevel"/>
    <w:tmpl w:val="61026B1A"/>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B776F34"/>
    <w:rsid w:val="120A7E71"/>
    <w:rsid w:val="133C7824"/>
    <w:rsid w:val="19C4053D"/>
    <w:rsid w:val="1FCD573B"/>
    <w:rsid w:val="204865BD"/>
    <w:rsid w:val="3B8838EC"/>
    <w:rsid w:val="3D15178C"/>
    <w:rsid w:val="4BC26738"/>
    <w:rsid w:val="4BE92D67"/>
    <w:rsid w:val="5274033D"/>
    <w:rsid w:val="555F3D97"/>
    <w:rsid w:val="5FBA7127"/>
    <w:rsid w:val="68160D15"/>
    <w:rsid w:val="6B037C01"/>
    <w:rsid w:val="6CF453E0"/>
    <w:rsid w:val="749F28F0"/>
    <w:rsid w:val="791D0AF4"/>
    <w:rsid w:val="7A1072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1"/>
    <w:qFormat/>
    <w:uiPriority w:val="0"/>
    <w:rPr>
      <w:rFonts w:hint="default" w:ascii="Times New Roman" w:hAnsi="Times New Roman" w:cs="Times New Roman"/>
    </w:rPr>
  </w:style>
  <w:style w:type="character" w:customStyle="1" w:styleId="17">
    <w:name w:val="16"/>
    <w:basedOn w:val="11"/>
    <w:qFormat/>
    <w:uiPriority w:val="0"/>
    <w:rPr>
      <w:rFonts w:hint="default" w:ascii="Times New Roman" w:hAnsi="Times New Roman" w:cs="Times New Roman"/>
      <w:kern w:val="2"/>
      <w:sz w:val="18"/>
      <w:szCs w:val="18"/>
    </w:rPr>
  </w:style>
  <w:style w:type="character" w:customStyle="1" w:styleId="18">
    <w:name w:val="15"/>
    <w:basedOn w:val="11"/>
    <w:qFormat/>
    <w:uiPriority w:val="0"/>
    <w:rPr>
      <w:rFonts w:hint="default" w:ascii="Times New Roman" w:hAnsi="Times New Roman" w:cs="Times New Roman"/>
    </w:rPr>
  </w:style>
  <w:style w:type="character" w:customStyle="1" w:styleId="19">
    <w:name w:val="批注框文本 Char"/>
    <w:basedOn w:val="11"/>
    <w:link w:val="6"/>
    <w:qFormat/>
    <w:uiPriority w:val="0"/>
    <w:rPr>
      <w:rFonts w:ascii="Calibri" w:hAnsi="Calibri" w:eastAsia="宋体" w:cs="黑体"/>
      <w:kern w:val="2"/>
      <w:sz w:val="18"/>
      <w:szCs w:val="18"/>
    </w:rPr>
  </w:style>
  <w:style w:type="character" w:customStyle="1" w:styleId="20">
    <w:name w:val="页眉 Char"/>
    <w:basedOn w:val="11"/>
    <w:link w:val="8"/>
    <w:qFormat/>
    <w:uiPriority w:val="99"/>
    <w:rPr>
      <w:rFonts w:ascii="Calibri" w:hAnsi="Calibri" w:eastAsia="宋体" w:cs="黑体"/>
      <w:kern w:val="2"/>
      <w:sz w:val="18"/>
      <w:szCs w:val="18"/>
    </w:rPr>
  </w:style>
  <w:style w:type="character" w:customStyle="1" w:styleId="21">
    <w:name w:val="页脚 Char"/>
    <w:basedOn w:val="11"/>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10084</Words>
  <Characters>11620</Characters>
  <Lines>83</Lines>
  <Paragraphs>23</Paragraphs>
  <TotalTime>0</TotalTime>
  <ScaleCrop>false</ScaleCrop>
  <LinksUpToDate>false</LinksUpToDate>
  <CharactersWithSpaces>11708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2022-07-08T05:58:00Z</cp:lastPrinted>
  <dcterms:modified xsi:type="dcterms:W3CDTF">2025-10-16T06:23:20Z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