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cs="宋体"/>
          <w:b/>
          <w:sz w:val="28"/>
          <w:szCs w:val="28"/>
          <w:highlight w:val="none"/>
        </w:rPr>
      </w:pPr>
      <w:r>
        <w:rPr>
          <w:rFonts w:hint="eastAsia" w:ascii="宋体" w:hAnsi="宋体" w:cs="宋体"/>
          <w:b/>
          <w:sz w:val="28"/>
          <w:szCs w:val="28"/>
          <w:highlight w:val="none"/>
          <w:lang w:val="en-US" w:eastAsia="zh-CN"/>
        </w:rPr>
        <w:t xml:space="preserve"> </w:t>
      </w:r>
      <w:r>
        <w:rPr>
          <w:rFonts w:hint="eastAsia" w:ascii="宋体" w:hAnsi="宋体" w:cs="宋体"/>
          <w:b/>
          <w:sz w:val="28"/>
          <w:szCs w:val="28"/>
          <w:highlight w:val="none"/>
        </w:rPr>
        <w:t>“金紫薇”共赢B系列</w:t>
      </w:r>
      <w:r>
        <w:rPr>
          <w:rFonts w:hint="eastAsia" w:ascii="宋体" w:hAnsi="宋体" w:cs="宋体"/>
          <w:b/>
          <w:sz w:val="28"/>
          <w:szCs w:val="28"/>
          <w:highlight w:val="none"/>
          <w:lang w:eastAsia="zh-CN"/>
        </w:rPr>
        <w:t>3号</w:t>
      </w:r>
      <w:r>
        <w:rPr>
          <w:rFonts w:hint="eastAsia" w:ascii="宋体" w:hAnsi="宋体" w:cs="宋体"/>
          <w:b/>
          <w:sz w:val="28"/>
          <w:szCs w:val="28"/>
          <w:highlight w:val="none"/>
        </w:rPr>
        <w:t>人民币理财产品说明书</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right="0"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hint="eastAsia" w:ascii="宋体" w:hAnsi="宋体" w:cs="宋体"/>
          <w:b/>
          <w:bCs/>
          <w:szCs w:val="21"/>
          <w:highlight w:val="none"/>
        </w:rPr>
      </w:pPr>
      <w:r>
        <w:rPr>
          <w:rFonts w:hint="eastAsia" w:ascii="宋体" w:hAnsi="宋体" w:cs="宋体"/>
          <w:b/>
          <w:bCs/>
          <w:szCs w:val="21"/>
          <w:highlight w:val="none"/>
        </w:rPr>
        <w:t>5、本行提醒投资者关注，业绩比较基准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9、本期理财产品在周期确认日至周期终止日期间，不支持投资者赎回。对应投资周期到期后，自动赎回。</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hint="eastAsia" w:ascii="宋体" w:hAnsi="宋体" w:cs="宋体"/>
          <w:b/>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3"/>
        <w:tblW w:w="9404"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“金紫薇”共赢B系列</w:t>
            </w:r>
            <w:r>
              <w:rPr>
                <w:rFonts w:hint="eastAsia" w:ascii="宋体" w:hAnsi="宋体" w:cs="宋体"/>
                <w:szCs w:val="21"/>
                <w:highlight w:val="none"/>
                <w:lang w:eastAsia="zh-CN"/>
              </w:rPr>
              <w:t>3号</w:t>
            </w:r>
            <w:r>
              <w:rPr>
                <w:rFonts w:hint="eastAsia" w:ascii="宋体" w:hAnsi="宋体" w:cs="宋体"/>
                <w:szCs w:val="21"/>
                <w:highlight w:val="none"/>
              </w:rPr>
              <w:t>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ascii="宋体" w:hAnsi="宋体" w:cs="宋体"/>
                <w:sz w:val="21"/>
                <w:szCs w:val="21"/>
              </w:rPr>
            </w:pPr>
            <w:r>
              <w:rPr>
                <w:rFonts w:ascii="宋体" w:hAnsi="宋体" w:cs="宋体"/>
                <w:sz w:val="21"/>
                <w:szCs w:val="21"/>
              </w:rPr>
              <w:t>C131582</w:t>
            </w:r>
            <w:r>
              <w:rPr>
                <w:rFonts w:hint="eastAsia" w:ascii="宋体" w:hAnsi="宋体" w:cs="宋体"/>
                <w:sz w:val="21"/>
                <w:szCs w:val="21"/>
              </w:rPr>
              <w:t>0</w:t>
            </w:r>
            <w:r>
              <w:rPr>
                <w:rFonts w:ascii="宋体" w:hAnsi="宋体" w:cs="宋体"/>
                <w:sz w:val="21"/>
                <w:szCs w:val="21"/>
              </w:rPr>
              <w:t>000</w:t>
            </w:r>
            <w:r>
              <w:rPr>
                <w:rFonts w:hint="eastAsia" w:ascii="宋体" w:hAnsi="宋体" w:cs="宋体"/>
                <w:sz w:val="21"/>
                <w:szCs w:val="21"/>
              </w:rPr>
              <w:t>035</w:t>
            </w:r>
          </w:p>
          <w:p>
            <w:pPr>
              <w:pStyle w:val="9"/>
              <w:widowControl/>
              <w:rPr>
                <w:rFonts w:ascii="宋体" w:hAnsi="宋体" w:cs="宋体"/>
                <w:kern w:val="2"/>
                <w:sz w:val="21"/>
                <w:szCs w:val="21"/>
                <w:highlight w:val="none"/>
              </w:rPr>
            </w:pPr>
            <w:r>
              <w:rPr>
                <w:rFonts w:hint="eastAsia" w:ascii="宋体" w:hAnsi="宋体" w:cs="宋体"/>
                <w:kern w:val="2"/>
                <w:sz w:val="21"/>
                <w:szCs w:val="21"/>
              </w:rPr>
              <w:t>（可通过中国理财网</w:t>
            </w:r>
            <w:r>
              <w:fldChar w:fldCharType="begin"/>
            </w:r>
            <w:r>
              <w:instrText xml:space="preserve"> HYPERLINK "http://www.chinawealth.com.cn/" </w:instrText>
            </w:r>
            <w:r>
              <w:fldChar w:fldCharType="separate"/>
            </w:r>
            <w:r>
              <w:rPr>
                <w:rFonts w:hint="eastAsia" w:ascii="宋体" w:hAnsi="宋体" w:cs="宋体"/>
                <w:kern w:val="2"/>
                <w:sz w:val="21"/>
                <w:szCs w:val="21"/>
              </w:rPr>
              <w:t>http://www.chinawealth.com.cn</w:t>
            </w:r>
            <w:r>
              <w:rPr>
                <w:rFonts w:hint="eastAsia" w:ascii="宋体" w:hAnsi="宋体" w:cs="宋体"/>
                <w:kern w:val="2"/>
                <w:sz w:val="21"/>
                <w:szCs w:val="21"/>
              </w:rP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B20003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rPr>
                <w:szCs w:val="21"/>
                <w:lang w:val="en-US"/>
              </w:rPr>
            </w:pPr>
            <w:r>
              <w:rPr>
                <w:rFonts w:hint="eastAsia"/>
                <w:szCs w:val="21"/>
                <w:lang w:val="en-US"/>
              </w:rPr>
              <w:t>2020年06月10日08:30至2020年06月16日17:30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2020年06月17日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2030年6月19日（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3、本产品成立后泰安银行将定期公布该产品单位净值，单位净值保留至8位小数。投资者可通过泰安银行网上银行、手机银行、微信银行等渠道查询。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w:t>
            </w:r>
            <w:r>
              <w:rPr>
                <w:rFonts w:hint="eastAsia" w:ascii="宋体" w:hAnsi="宋体" w:cs="宋体"/>
                <w:kern w:val="0"/>
                <w:szCs w:val="21"/>
                <w:highlight w:val="none"/>
                <w:lang w:eastAsia="zh-CN"/>
              </w:rPr>
              <w:t>济南分行</w:t>
            </w:r>
            <w:r>
              <w:rPr>
                <w:rFonts w:hint="eastAsia" w:ascii="宋体" w:hAnsi="宋体" w:cs="宋体"/>
                <w:kern w:val="0"/>
                <w:szCs w:val="21"/>
                <w:highlight w:val="none"/>
              </w:rPr>
              <w:t>各营业网点、网上银行、微信银行及手机银行客户端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zh-CN" w:bidi="zh-CN"/>
              </w:rPr>
              <w:t>10</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zh-CN" w:bidi="zh-CN"/>
              </w:rPr>
              <w:t>2</w:t>
            </w:r>
            <w:r>
              <w:rPr>
                <w:rFonts w:ascii="宋体" w:hAnsi="宋体" w:cs="宋体"/>
                <w:highlight w:val="none"/>
                <w:lang w:val="zh-CN" w:bidi="zh-CN"/>
              </w:rPr>
              <w:t>0%（年化）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color w:val="auto"/>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hint="eastAsia"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3、固定管理费：产品固定管理费按产品募集本金金额的0.20%年费率收取，按日计提。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1、泰安银行官方网站（http://www.taccb.com.cn）、手机银行客户端、网上银行、微信银行等渠道发布公告信息；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3"/>
        <w:tblW w:w="9550"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hint="eastAsia" w:ascii="宋体" w:hAnsi="宋体" w:cs="宋体"/>
          <w:b w:val="0"/>
          <w:bCs/>
          <w:szCs w:val="21"/>
          <w:highlight w:val="none"/>
        </w:rPr>
      </w:pPr>
    </w:p>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5" w:firstLine="413" w:firstLineChars="196"/>
        <w:rPr>
          <w:rFonts w:hint="eastAsia"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3"/>
        <w:tblW w:w="85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2449"/>
        <w:gridCol w:w="1515"/>
        <w:gridCol w:w="1091"/>
        <w:gridCol w:w="1452"/>
        <w:gridCol w:w="14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trPr>
        <w:tc>
          <w:tcPr>
            <w:tcW w:w="560" w:type="dxa"/>
            <w:vAlign w:val="center"/>
          </w:tcPr>
          <w:p>
            <w:pPr>
              <w:snapToGrid w:val="0"/>
              <w:spacing w:line="360" w:lineRule="auto"/>
              <w:jc w:val="center"/>
              <w:rPr>
                <w:rFonts w:ascii="宋体" w:hAnsi="宋体" w:cs="宋体"/>
                <w:b/>
                <w:szCs w:val="21"/>
              </w:rPr>
            </w:pPr>
            <w:r>
              <w:rPr>
                <w:rFonts w:hint="eastAsia" w:ascii="宋体" w:hAnsi="宋体" w:cs="宋体"/>
                <w:b/>
                <w:szCs w:val="21"/>
              </w:rPr>
              <w:t>序号</w:t>
            </w:r>
          </w:p>
        </w:tc>
        <w:tc>
          <w:tcPr>
            <w:tcW w:w="2449" w:type="dxa"/>
            <w:vAlign w:val="center"/>
          </w:tcPr>
          <w:p>
            <w:pPr>
              <w:snapToGrid w:val="0"/>
              <w:spacing w:line="360" w:lineRule="auto"/>
              <w:jc w:val="center"/>
              <w:rPr>
                <w:rFonts w:ascii="宋体" w:hAnsi="宋体" w:cs="宋体"/>
                <w:b/>
                <w:szCs w:val="21"/>
              </w:rPr>
            </w:pPr>
            <w:r>
              <w:rPr>
                <w:rFonts w:hint="eastAsia" w:ascii="宋体" w:hAnsi="宋体" w:cs="宋体"/>
                <w:b/>
                <w:szCs w:val="21"/>
              </w:rPr>
              <w:t>募集期</w:t>
            </w:r>
          </w:p>
          <w:p>
            <w:pPr>
              <w:snapToGrid w:val="0"/>
              <w:spacing w:line="360" w:lineRule="auto"/>
              <w:jc w:val="center"/>
              <w:rPr>
                <w:rFonts w:ascii="宋体" w:hAnsi="宋体" w:cs="宋体"/>
                <w:b/>
                <w:szCs w:val="21"/>
              </w:rPr>
            </w:pPr>
            <w:r>
              <w:rPr>
                <w:rFonts w:hint="eastAsia" w:ascii="宋体" w:hAnsi="宋体" w:cs="宋体"/>
                <w:b/>
                <w:szCs w:val="21"/>
              </w:rPr>
              <w:t>（申购开放期）</w:t>
            </w:r>
          </w:p>
        </w:tc>
        <w:tc>
          <w:tcPr>
            <w:tcW w:w="1515" w:type="dxa"/>
            <w:vAlign w:val="center"/>
          </w:tcPr>
          <w:p>
            <w:pPr>
              <w:snapToGrid w:val="0"/>
              <w:spacing w:line="360" w:lineRule="auto"/>
              <w:jc w:val="center"/>
              <w:rPr>
                <w:rFonts w:ascii="宋体" w:hAnsi="宋体" w:cs="宋体"/>
                <w:b/>
                <w:szCs w:val="21"/>
              </w:rPr>
            </w:pPr>
            <w:r>
              <w:rPr>
                <w:rFonts w:hint="eastAsia" w:ascii="宋体" w:hAnsi="宋体" w:cs="宋体"/>
                <w:b/>
                <w:szCs w:val="21"/>
              </w:rPr>
              <w:t>成立日</w:t>
            </w:r>
          </w:p>
          <w:p>
            <w:pPr>
              <w:snapToGrid w:val="0"/>
              <w:spacing w:line="360" w:lineRule="auto"/>
              <w:jc w:val="center"/>
              <w:rPr>
                <w:rFonts w:ascii="宋体" w:hAnsi="宋体" w:cs="宋体"/>
                <w:b/>
                <w:szCs w:val="21"/>
              </w:rPr>
            </w:pPr>
            <w:r>
              <w:rPr>
                <w:rFonts w:hint="eastAsia" w:ascii="宋体" w:hAnsi="宋体" w:cs="宋体"/>
                <w:b/>
                <w:szCs w:val="21"/>
              </w:rPr>
              <w:t>（周期确认日）</w:t>
            </w:r>
          </w:p>
        </w:tc>
        <w:tc>
          <w:tcPr>
            <w:tcW w:w="1091" w:type="dxa"/>
            <w:vAlign w:val="center"/>
          </w:tcPr>
          <w:p>
            <w:pPr>
              <w:snapToGrid w:val="0"/>
              <w:spacing w:line="360" w:lineRule="auto"/>
              <w:jc w:val="center"/>
              <w:rPr>
                <w:rFonts w:hint="eastAsia" w:ascii="宋体" w:hAnsi="宋体" w:cs="宋体"/>
                <w:b/>
                <w:szCs w:val="21"/>
              </w:rPr>
            </w:pPr>
            <w:r>
              <w:rPr>
                <w:rFonts w:hint="eastAsia" w:ascii="宋体" w:hAnsi="宋体" w:cs="宋体"/>
                <w:b/>
                <w:szCs w:val="21"/>
              </w:rPr>
              <w:t>投资周期</w:t>
            </w:r>
          </w:p>
          <w:p>
            <w:pPr>
              <w:snapToGrid w:val="0"/>
              <w:spacing w:line="360" w:lineRule="auto"/>
              <w:jc w:val="center"/>
              <w:rPr>
                <w:rFonts w:ascii="宋体" w:hAnsi="宋体" w:cs="宋体"/>
                <w:b/>
                <w:szCs w:val="21"/>
              </w:rPr>
            </w:pPr>
            <w:r>
              <w:rPr>
                <w:rFonts w:hint="eastAsia" w:ascii="宋体" w:hAnsi="宋体" w:cs="宋体"/>
                <w:b/>
                <w:szCs w:val="21"/>
              </w:rPr>
              <w:t>天数</w:t>
            </w:r>
          </w:p>
        </w:tc>
        <w:tc>
          <w:tcPr>
            <w:tcW w:w="1452" w:type="dxa"/>
            <w:vAlign w:val="center"/>
          </w:tcPr>
          <w:p>
            <w:pPr>
              <w:snapToGrid w:val="0"/>
              <w:spacing w:line="360" w:lineRule="auto"/>
              <w:jc w:val="center"/>
              <w:rPr>
                <w:rFonts w:hint="eastAsia" w:ascii="宋体" w:hAnsi="宋体" w:cs="宋体"/>
                <w:b/>
                <w:szCs w:val="21"/>
                <w:lang w:eastAsia="zh-CN"/>
              </w:rPr>
            </w:pPr>
            <w:r>
              <w:rPr>
                <w:rFonts w:hint="eastAsia" w:ascii="宋体" w:hAnsi="宋体" w:cs="宋体"/>
                <w:b/>
                <w:szCs w:val="21"/>
                <w:lang w:eastAsia="zh-CN"/>
              </w:rPr>
              <w:t>投资周期</w:t>
            </w:r>
          </w:p>
          <w:p>
            <w:pPr>
              <w:snapToGrid w:val="0"/>
              <w:spacing w:line="360" w:lineRule="auto"/>
              <w:jc w:val="center"/>
              <w:rPr>
                <w:rFonts w:hint="eastAsia" w:ascii="宋体" w:hAnsi="宋体" w:eastAsia="宋体" w:cs="宋体"/>
                <w:b/>
                <w:szCs w:val="21"/>
                <w:lang w:eastAsia="zh-CN"/>
              </w:rPr>
            </w:pPr>
            <w:r>
              <w:rPr>
                <w:rFonts w:hint="eastAsia" w:ascii="宋体" w:hAnsi="宋体" w:cs="宋体"/>
                <w:b/>
                <w:szCs w:val="21"/>
                <w:lang w:eastAsia="zh-CN"/>
              </w:rPr>
              <w:t>终止日</w:t>
            </w:r>
          </w:p>
        </w:tc>
        <w:tc>
          <w:tcPr>
            <w:tcW w:w="1452" w:type="dxa"/>
            <w:vAlign w:val="center"/>
          </w:tcPr>
          <w:p>
            <w:pPr>
              <w:snapToGrid w:val="0"/>
              <w:spacing w:line="360" w:lineRule="auto"/>
              <w:jc w:val="center"/>
              <w:rPr>
                <w:rFonts w:ascii="宋体" w:hAnsi="宋体" w:cs="宋体"/>
                <w:b/>
                <w:szCs w:val="21"/>
              </w:rPr>
            </w:pPr>
            <w:r>
              <w:rPr>
                <w:rFonts w:hint="eastAsia" w:ascii="宋体" w:hAnsi="宋体" w:cs="宋体"/>
                <w:b/>
                <w:szCs w:val="21"/>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49" w:type="dxa"/>
            <w:vAlign w:val="center"/>
          </w:tcPr>
          <w:p>
            <w:pPr>
              <w:snapToGrid w:val="0"/>
              <w:spacing w:line="360" w:lineRule="auto"/>
              <w:jc w:val="center"/>
              <w:rPr>
                <w:rFonts w:ascii="宋体" w:hAnsi="宋体" w:cs="宋体"/>
                <w:szCs w:val="21"/>
              </w:rPr>
            </w:pPr>
            <w:r>
              <w:rPr>
                <w:rFonts w:hint="eastAsia" w:ascii="宋体" w:hAnsi="宋体" w:cs="宋体"/>
                <w:szCs w:val="21"/>
              </w:rPr>
              <w:t>2020.6.10-2020.6.16</w:t>
            </w:r>
          </w:p>
        </w:tc>
        <w:tc>
          <w:tcPr>
            <w:tcW w:w="1515" w:type="dxa"/>
            <w:vAlign w:val="center"/>
          </w:tcPr>
          <w:p>
            <w:pPr>
              <w:snapToGrid w:val="0"/>
              <w:spacing w:line="360" w:lineRule="auto"/>
              <w:jc w:val="center"/>
              <w:rPr>
                <w:rFonts w:ascii="宋体" w:hAnsi="宋体" w:cs="宋体"/>
                <w:szCs w:val="21"/>
              </w:rPr>
            </w:pPr>
            <w:r>
              <w:rPr>
                <w:rFonts w:hint="eastAsia" w:ascii="宋体" w:hAnsi="宋体" w:cs="宋体"/>
                <w:szCs w:val="21"/>
              </w:rPr>
              <w:t>2020.6.17</w:t>
            </w:r>
          </w:p>
        </w:tc>
        <w:tc>
          <w:tcPr>
            <w:tcW w:w="1091" w:type="dxa"/>
            <w:vAlign w:val="center"/>
          </w:tcPr>
          <w:p>
            <w:pPr>
              <w:snapToGrid w:val="0"/>
              <w:spacing w:line="360" w:lineRule="auto"/>
              <w:jc w:val="center"/>
              <w:rPr>
                <w:rFonts w:ascii="宋体" w:hAnsi="宋体" w:cs="宋体"/>
                <w:szCs w:val="21"/>
              </w:rPr>
            </w:pPr>
            <w:r>
              <w:rPr>
                <w:rFonts w:hint="eastAsia" w:ascii="宋体" w:hAnsi="宋体" w:cs="宋体"/>
                <w:szCs w:val="21"/>
              </w:rPr>
              <w:t>91</w:t>
            </w:r>
          </w:p>
        </w:tc>
        <w:tc>
          <w:tcPr>
            <w:tcW w:w="1452" w:type="dxa"/>
            <w:vAlign w:val="center"/>
          </w:tcPr>
          <w:p>
            <w:pPr>
              <w:snapToGrid w:val="0"/>
              <w:spacing w:line="360" w:lineRule="auto"/>
              <w:jc w:val="center"/>
              <w:rPr>
                <w:rFonts w:hint="eastAsia" w:ascii="宋体" w:hAnsi="宋体" w:cs="宋体"/>
                <w:szCs w:val="21"/>
              </w:rPr>
            </w:pPr>
            <w:r>
              <w:rPr>
                <w:rFonts w:hint="eastAsia" w:ascii="宋体" w:hAnsi="宋体" w:cs="宋体"/>
                <w:szCs w:val="21"/>
              </w:rPr>
              <w:t>2020-9-16</w:t>
            </w:r>
          </w:p>
        </w:tc>
        <w:tc>
          <w:tcPr>
            <w:tcW w:w="1452" w:type="dxa"/>
            <w:vAlign w:val="center"/>
          </w:tcPr>
          <w:p>
            <w:pPr>
              <w:snapToGrid w:val="0"/>
              <w:spacing w:line="360" w:lineRule="auto"/>
              <w:jc w:val="center"/>
              <w:rPr>
                <w:rFonts w:ascii="宋体" w:hAnsi="宋体" w:cs="宋体"/>
                <w:szCs w:val="21"/>
              </w:rPr>
            </w:pPr>
            <w:r>
              <w:rPr>
                <w:rFonts w:hint="eastAsia" w:ascii="宋体" w:hAnsi="宋体" w:cs="宋体"/>
                <w:szCs w:val="21"/>
              </w:rPr>
              <w:t>4.40%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209</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2025.5.21-2025.5.26</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2025.5.27</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210</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2025.5.28-2025.6.2</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2025.6.3</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2025-9-9</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211</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2025.6.4-2025.6.9</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2025.6.10</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2025-9-16</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2.6%-3.1%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212</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2025.6.11-2025.6.16</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2025.6.17</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w:t>
            </w:r>
            <w:r>
              <w:rPr>
                <w:rFonts w:hint="eastAsia" w:ascii="Arial" w:hAnsi="Arial" w:cs="Arial"/>
                <w:i w:val="0"/>
                <w:color w:val="auto"/>
                <w:sz w:val="20"/>
                <w:szCs w:val="20"/>
                <w:u w:val="none"/>
                <w:lang w:val="en-US" w:eastAsia="zh-CN"/>
              </w:rPr>
              <w:t>23</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2.6%-3.1%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213</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2025.6.18-2025.6.23</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2025.6.24</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2025-9-30</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2.6%-3.1%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214</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2025.6.25-2025.6.30</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2025-10-14</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2.6%-3.1%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215</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2025.7.2-2025.7.7</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2025.7.8</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2025-10-21</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2.5%-3.0%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216</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2025.7.9-2025.7.14</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2025.7.15</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2025-10-28</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2.5%-3.0%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217</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2025.7.16-2025.7.21</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2025.7.22</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2025-11-4</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218</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2025.7.23-2025.7.28</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2025.7.29</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2025-11-11</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219</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2025.7.30-2025.8.4</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2025.8.5</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2025-11-18</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220</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2025.8.6-2025.8.11</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2025.8.12</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hint="eastAsia" w:ascii="Arial" w:hAnsi="Arial" w:eastAsia="宋体" w:cs="Arial"/>
                <w:i w:val="0"/>
                <w:color w:val="auto"/>
                <w:sz w:val="20"/>
                <w:szCs w:val="20"/>
                <w:u w:val="none"/>
              </w:rPr>
              <w:t>2025-11-25</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2.5%-3.0%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221</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2025.8.13-2025.8.18</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2025.8.19</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rPr>
            </w:pPr>
            <w:r>
              <w:rPr>
                <w:rFonts w:ascii="Arial" w:hAnsi="Arial" w:eastAsia="宋体" w:cs="Arial"/>
                <w:i w:val="0"/>
                <w:color w:val="auto"/>
                <w:sz w:val="20"/>
                <w:szCs w:val="20"/>
                <w:u w:val="none"/>
              </w:rPr>
              <w:t>2025-12-2</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2.5%-3.0%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222</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2025.8.20-2025.8.25</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2025.8.26</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2025-12-</w:t>
            </w:r>
            <w:r>
              <w:rPr>
                <w:rFonts w:hint="eastAsia" w:ascii="Arial" w:hAnsi="Arial" w:cs="Arial"/>
                <w:i w:val="0"/>
                <w:color w:val="auto"/>
                <w:sz w:val="20"/>
                <w:szCs w:val="20"/>
                <w:u w:val="none"/>
                <w:lang w:val="en-US" w:eastAsia="zh-CN"/>
              </w:rPr>
              <w:t>9</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223</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2025.8.27-2025.9.1</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2025-12-16</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2.5%-2.9%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224</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2025.9.3-2025.9.8</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2025.9.9</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2025-12-23</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225</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2025.9.10-2025.9.15</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2025.9.16</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2025-12-30</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226</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2025.9.17-2025.9.22</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2025.9.23</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2026-1-6</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227</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2025.9.24-2025.9.29</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2025.9.30</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2026-1-13</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2.4%-2.8%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228</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2025.10.1-2025.10.13</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2025.10.14</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2026-1-20</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2.3%-2.7% </w:t>
            </w:r>
          </w:p>
        </w:tc>
      </w:tr>
    </w:tbl>
    <w:p>
      <w:pPr>
        <w:snapToGrid w:val="0"/>
        <w:spacing w:line="360" w:lineRule="auto"/>
        <w:ind w:firstLine="422" w:firstLineChars="200"/>
        <w:rPr>
          <w:rFonts w:hint="eastAsia" w:ascii="宋体" w:hAnsi="宋体" w:cs="宋体"/>
          <w:b/>
          <w:szCs w:val="21"/>
        </w:rPr>
      </w:pPr>
      <w:r>
        <w:rPr>
          <w:rFonts w:hint="eastAsia" w:ascii="宋体" w:hAnsi="宋体" w:cs="宋体"/>
          <w:b/>
          <w:szCs w:val="21"/>
        </w:rPr>
        <w:t>十二、募集期认购/投资周期申购要素信息表</w:t>
      </w:r>
    </w:p>
    <w:p>
      <w:pPr>
        <w:jc w:val="center"/>
        <w:rPr>
          <w:rFonts w:hint="eastAsia" w:ascii="宋体" w:hAnsi="宋体" w:eastAsia="宋体" w:cs="宋体"/>
          <w:b/>
          <w:sz w:val="28"/>
          <w:szCs w:val="36"/>
          <w:lang w:eastAsia="zh-CN"/>
        </w:rPr>
      </w:pPr>
      <w:r>
        <w:rPr>
          <w:rFonts w:hint="eastAsia" w:ascii="宋体" w:hAnsi="宋体" w:cs="宋体"/>
          <w:b/>
          <w:sz w:val="28"/>
          <w:szCs w:val="36"/>
        </w:rPr>
        <w:t>“金紫薇”共赢B系列3号人民币理财产品</w:t>
      </w:r>
      <w:r>
        <w:rPr>
          <w:rFonts w:hint="eastAsia" w:ascii="宋体" w:hAnsi="宋体" w:cs="宋体"/>
          <w:b/>
          <w:sz w:val="28"/>
          <w:szCs w:val="36"/>
          <w:lang w:eastAsia="zh-CN"/>
        </w:rPr>
        <w:t>（济南分行专属）</w:t>
      </w:r>
    </w:p>
    <w:p>
      <w:pPr>
        <w:spacing w:line="360" w:lineRule="auto"/>
        <w:jc w:val="center"/>
        <w:rPr>
          <w:rFonts w:ascii="宋体" w:hAnsi="宋体" w:cs="宋体"/>
          <w:b/>
          <w:sz w:val="28"/>
          <w:szCs w:val="36"/>
        </w:rPr>
      </w:pPr>
      <w:r>
        <w:rPr>
          <w:rFonts w:hint="eastAsia" w:ascii="宋体" w:hAnsi="宋体" w:cs="宋体"/>
          <w:b/>
          <w:sz w:val="28"/>
          <w:szCs w:val="36"/>
        </w:rPr>
        <w:t>投资周期申购要素表</w:t>
      </w:r>
    </w:p>
    <w:p>
      <w:pPr>
        <w:spacing w:line="360" w:lineRule="auto"/>
        <w:rPr>
          <w:rFonts w:ascii="宋体" w:hAnsi="宋体" w:cs="宋体"/>
          <w:szCs w:val="30"/>
        </w:rPr>
      </w:pPr>
      <w:r>
        <w:rPr>
          <w:rFonts w:hint="eastAsia" w:ascii="宋体" w:hAnsi="宋体" w:cs="宋体"/>
          <w:szCs w:val="30"/>
        </w:rPr>
        <w:t>尊敬的投资者：</w:t>
      </w:r>
    </w:p>
    <w:p>
      <w:pPr>
        <w:spacing w:line="360" w:lineRule="auto"/>
        <w:ind w:firstLine="420"/>
        <w:rPr>
          <w:rFonts w:ascii="宋体" w:hAnsi="宋体" w:cs="宋体"/>
          <w:szCs w:val="30"/>
        </w:rPr>
      </w:pPr>
      <w:r>
        <w:rPr>
          <w:rFonts w:hint="eastAsia" w:ascii="宋体" w:hAnsi="宋体" w:cs="宋体"/>
          <w:szCs w:val="30"/>
        </w:rPr>
        <w:t>按照“金紫薇”共赢B系列3号人民币理财产品说明书相关规定，我行将“金紫薇”共赢B系列3号人民币理财产品投资周期申购要素表公告如下，请投资者关注：</w:t>
      </w:r>
    </w:p>
    <w:tbl>
      <w:tblPr>
        <w:tblStyle w:val="13"/>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B20003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开放</w:t>
            </w:r>
            <w:r>
              <w:rPr>
                <w:rFonts w:hint="eastAsia" w:ascii="宋体" w:hAnsi="宋体" w:cs="宋体"/>
                <w:b/>
                <w:bCs/>
              </w:rPr>
              <w:t>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1</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13</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本投资周期确认</w:t>
            </w:r>
            <w:r>
              <w:rPr>
                <w:rFonts w:hint="eastAsia" w:ascii="宋体" w:hAnsi="宋体" w:cs="宋体"/>
                <w:b/>
                <w:bCs/>
              </w:rPr>
              <w:t>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14</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本投资周期终止日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6</w:t>
            </w:r>
            <w:r>
              <w:rPr>
                <w:rFonts w:hint="eastAsia" w:ascii="宋体" w:hAnsi="宋体" w:cs="宋体"/>
                <w:b/>
                <w:bCs/>
                <w:highlight w:val="none"/>
              </w:rPr>
              <w:t>年</w:t>
            </w:r>
            <w:r>
              <w:rPr>
                <w:rFonts w:hint="eastAsia" w:ascii="宋体" w:hAnsi="宋体" w:cs="宋体"/>
                <w:b/>
                <w:bCs/>
                <w:highlight w:val="none"/>
                <w:lang w:val="en-US" w:eastAsia="zh-CN"/>
              </w:rPr>
              <w:t>1</w:t>
            </w:r>
            <w:r>
              <w:rPr>
                <w:rFonts w:hint="eastAsia" w:ascii="宋体" w:hAnsi="宋体" w:cs="宋体"/>
                <w:b/>
                <w:bCs/>
                <w:highlight w:val="none"/>
              </w:rPr>
              <w:t>月</w:t>
            </w:r>
            <w:r>
              <w:rPr>
                <w:rFonts w:hint="eastAsia" w:ascii="宋体" w:hAnsi="宋体" w:cs="宋体"/>
                <w:b/>
                <w:bCs/>
                <w:highlight w:val="none"/>
                <w:lang w:val="en-US" w:eastAsia="zh-CN"/>
              </w:rPr>
              <w:t>20</w:t>
            </w:r>
            <w:r>
              <w:rPr>
                <w:rFonts w:hint="eastAsia" w:ascii="宋体" w:hAnsi="宋体" w:cs="宋体"/>
                <w:b/>
                <w:bCs/>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lang w:val="en-US" w:eastAsia="zh-CN"/>
              </w:rPr>
              <w:t>98天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highlight w:val="none"/>
              </w:rPr>
            </w:pPr>
            <w:r>
              <w:rPr>
                <w:rFonts w:hint="eastAsia" w:ascii="宋体" w:hAnsi="宋体" w:cs="宋体"/>
                <w:b/>
                <w:bCs/>
                <w:highlight w:val="none"/>
                <w:lang w:val="en-US" w:eastAsia="zh-CN"/>
              </w:rPr>
              <w:t>2.3</w:t>
            </w:r>
            <w:r>
              <w:rPr>
                <w:rFonts w:hint="eastAsia" w:ascii="宋体" w:hAnsi="宋体" w:cs="宋体"/>
                <w:b/>
                <w:bCs/>
                <w:highlight w:val="none"/>
              </w:rPr>
              <w:t>%-</w:t>
            </w:r>
            <w:r>
              <w:rPr>
                <w:rFonts w:hint="eastAsia" w:ascii="宋体" w:hAnsi="宋体" w:cs="宋体"/>
                <w:b/>
                <w:bCs/>
                <w:highlight w:val="none"/>
                <w:lang w:val="en-US" w:eastAsia="zh-CN"/>
              </w:rPr>
              <w:t>2.7</w:t>
            </w:r>
            <w:bookmarkStart w:id="0" w:name="_GoBack"/>
            <w:bookmarkEnd w:id="0"/>
            <w:r>
              <w:rPr>
                <w:rFonts w:hint="eastAsia" w:ascii="宋体" w:hAnsi="宋体" w:cs="宋体"/>
                <w:b/>
                <w:bCs/>
                <w:highlight w:val="none"/>
              </w:rPr>
              <w:t>%</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highlight w:val="none"/>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本投资周期购买起点金额</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个人客户投资起点金额为1万元，以1</w:t>
            </w:r>
            <w:r>
              <w:rPr>
                <w:rFonts w:hint="eastAsia" w:ascii="宋体" w:hAnsi="宋体" w:cs="宋体"/>
                <w:b/>
                <w:bCs/>
                <w:lang w:val="en-US" w:eastAsia="zh-CN"/>
              </w:rPr>
              <w:t>000</w:t>
            </w:r>
            <w:r>
              <w:rPr>
                <w:rFonts w:hint="eastAsia" w:ascii="宋体" w:hAnsi="宋体" w:cs="宋体"/>
                <w:b/>
                <w:bCs/>
              </w:rPr>
              <w:t>元的整数倍递</w:t>
            </w:r>
            <w:r>
              <w:rPr>
                <w:rFonts w:hint="eastAsia" w:ascii="宋体" w:hAnsi="宋体" w:cs="宋体"/>
                <w:b/>
                <w:bCs/>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本投资周期发行规模上限</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不超过</w:t>
            </w:r>
            <w:r>
              <w:rPr>
                <w:rFonts w:hint="eastAsia" w:ascii="宋体" w:hAnsi="宋体" w:cs="宋体"/>
                <w:b/>
                <w:bCs/>
                <w:lang w:val="en-US" w:eastAsia="zh-CN"/>
              </w:rPr>
              <w:t>0.8</w:t>
            </w:r>
            <w:r>
              <w:rPr>
                <w:rFonts w:hint="eastAsia" w:ascii="宋体" w:hAnsi="宋体" w:cs="宋体"/>
                <w:b/>
                <w:bCs/>
              </w:rPr>
              <w:t>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产品类型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济南分行营业网点柜面、手机银行、网上银行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lang w:eastAsia="zh-CN"/>
              </w:rPr>
              <w:t>开放期</w:t>
            </w:r>
            <w:r>
              <w:rPr>
                <w:rFonts w:hint="eastAsia" w:ascii="宋体" w:hAnsi="宋体" w:cs="宋体"/>
                <w:b/>
                <w:bCs/>
              </w:rPr>
              <w:t>通过济南分行柜面面向个人</w:t>
            </w:r>
            <w:r>
              <w:rPr>
                <w:rFonts w:hint="eastAsia" w:ascii="宋体" w:hAnsi="宋体" w:cs="宋体"/>
                <w:b/>
                <w:bCs/>
                <w:lang w:eastAsia="zh-CN"/>
              </w:rPr>
              <w:t>、机构</w:t>
            </w:r>
            <w:r>
              <w:rPr>
                <w:rFonts w:hint="eastAsia" w:ascii="宋体" w:hAnsi="宋体" w:cs="宋体"/>
                <w:b/>
                <w:bCs/>
              </w:rPr>
              <w:t>客户销售，理财签约机构为济南分行的个人</w:t>
            </w:r>
            <w:r>
              <w:rPr>
                <w:rFonts w:hint="eastAsia" w:ascii="宋体" w:hAnsi="宋体" w:cs="宋体"/>
                <w:b/>
                <w:bCs/>
                <w:lang w:eastAsia="zh-CN"/>
              </w:rPr>
              <w:t>、机构</w:t>
            </w:r>
            <w:r>
              <w:rPr>
                <w:rFonts w:hint="eastAsia" w:ascii="宋体" w:hAnsi="宋体" w:cs="宋体"/>
                <w:b/>
                <w:bCs/>
              </w:rPr>
              <w:t>客户可通过电子渠道进行购买</w:t>
            </w:r>
          </w:p>
        </w:tc>
      </w:tr>
    </w:tbl>
    <w:p>
      <w:pPr>
        <w:ind w:firstLine="420"/>
        <w:rPr>
          <w:rFonts w:hint="eastAsia" w:ascii="宋体" w:hAnsi="宋体" w:cs="宋体"/>
          <w:b/>
          <w:szCs w:val="30"/>
          <w:highlight w:val="none"/>
        </w:rPr>
      </w:pPr>
    </w:p>
    <w:p>
      <w:pPr>
        <w:ind w:firstLine="420"/>
        <w:rPr>
          <w:rFonts w:hint="eastAsia" w:ascii="宋体" w:hAnsi="宋体" w:cs="宋体"/>
          <w:b/>
          <w:szCs w:val="30"/>
          <w:highlight w:val="none"/>
        </w:rPr>
      </w:pPr>
    </w:p>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hint="eastAsia" w:ascii="宋体" w:hAnsi="宋体" w:cs="宋体"/>
          <w:b/>
          <w:szCs w:val="21"/>
          <w:highlight w:val="none"/>
        </w:rPr>
      </w:pPr>
    </w:p>
    <w:p>
      <w:pPr>
        <w:adjustRightInd w:val="0"/>
        <w:snapToGrid w:val="0"/>
        <w:spacing w:line="360" w:lineRule="auto"/>
        <w:ind w:right="26"/>
        <w:jc w:val="left"/>
        <w:rPr>
          <w:rFonts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客户签字确认：</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p>
    <w:p>
      <w:pPr>
        <w:widowControl/>
        <w:adjustRightInd w:val="0"/>
        <w:snapToGrid w:val="0"/>
        <w:spacing w:line="360" w:lineRule="auto"/>
        <w:ind w:firstLine="600"/>
        <w:jc w:val="left"/>
        <w:rPr>
          <w:rFonts w:hint="eastAsia" w:ascii="宋体" w:hAnsi="宋体" w:cs="宋体"/>
          <w:szCs w:val="21"/>
          <w:highlight w:val="none"/>
        </w:rPr>
      </w:pPr>
      <w:r>
        <w:rPr>
          <w:rFonts w:hint="eastAsia" w:ascii="宋体" w:hAnsi="宋体" w:cs="宋体"/>
          <w:szCs w:val="21"/>
          <w:highlight w:val="none"/>
        </w:rPr>
        <w:t xml:space="preserve">                                        日        期：    年   月   日</w:t>
      </w:r>
    </w:p>
    <w:p>
      <w:pPr>
        <w:widowControl/>
        <w:adjustRightInd w:val="0"/>
        <w:snapToGrid w:val="0"/>
        <w:spacing w:line="360" w:lineRule="auto"/>
        <w:ind w:firstLine="600"/>
        <w:jc w:val="left"/>
        <w:rPr>
          <w:rFonts w:hint="eastAsia" w:ascii="宋体" w:hAnsi="宋体" w:cs="宋体"/>
          <w:szCs w:val="21"/>
          <w:highlight w:val="none"/>
        </w:rPr>
      </w:pP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601CEE98"/>
    <w:multiLevelType w:val="singleLevel"/>
    <w:tmpl w:val="601CEE98"/>
    <w:lvl w:ilvl="0" w:tentative="0">
      <w:start w:val="1"/>
      <w:numFmt w:val="decimal"/>
      <w:suff w:val="nothing"/>
      <w:lvlText w:val="%1、"/>
      <w:lvlJc w:val="left"/>
    </w:lvl>
  </w:abstractNum>
  <w:abstractNum w:abstractNumId="3">
    <w:nsid w:val="61026B1A"/>
    <w:multiLevelType w:val="singleLevel"/>
    <w:tmpl w:val="61026B1A"/>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4B0CD1"/>
    <w:rsid w:val="0E731E49"/>
    <w:rsid w:val="0F3006F2"/>
    <w:rsid w:val="11F43545"/>
    <w:rsid w:val="16E16B06"/>
    <w:rsid w:val="226A3DD3"/>
    <w:rsid w:val="2F253C32"/>
    <w:rsid w:val="300D3521"/>
    <w:rsid w:val="3FFC3695"/>
    <w:rsid w:val="4ADD76B8"/>
    <w:rsid w:val="4D661071"/>
    <w:rsid w:val="510A5214"/>
    <w:rsid w:val="52096757"/>
    <w:rsid w:val="59F67110"/>
    <w:rsid w:val="6AD5250C"/>
    <w:rsid w:val="72BF1D3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Hyperlink"/>
    <w:basedOn w:val="10"/>
    <w:qFormat/>
    <w:uiPriority w:val="0"/>
    <w:rPr>
      <w:color w:val="0000FF"/>
      <w:u w:val="single"/>
    </w:rPr>
  </w:style>
  <w:style w:type="character" w:styleId="12">
    <w:name w:val="annotation reference"/>
    <w:basedOn w:val="10"/>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0"/>
    <w:qFormat/>
    <w:uiPriority w:val="0"/>
    <w:rPr>
      <w:rFonts w:hint="default" w:ascii="Times New Roman" w:hAnsi="Times New Roman" w:cs="Times New Roman"/>
    </w:rPr>
  </w:style>
  <w:style w:type="character" w:customStyle="1" w:styleId="17">
    <w:name w:val="16"/>
    <w:basedOn w:val="10"/>
    <w:qFormat/>
    <w:uiPriority w:val="0"/>
    <w:rPr>
      <w:rFonts w:hint="default" w:ascii="Times New Roman" w:hAnsi="Times New Roman" w:cs="Times New Roman"/>
      <w:kern w:val="2"/>
      <w:sz w:val="18"/>
      <w:szCs w:val="18"/>
    </w:rPr>
  </w:style>
  <w:style w:type="character" w:customStyle="1" w:styleId="18">
    <w:name w:val="15"/>
    <w:basedOn w:val="10"/>
    <w:qFormat/>
    <w:uiPriority w:val="0"/>
    <w:rPr>
      <w:rFonts w:hint="default" w:ascii="Times New Roman" w:hAnsi="Times New Roman" w:cs="Times New Roman"/>
    </w:rPr>
  </w:style>
  <w:style w:type="character" w:customStyle="1" w:styleId="19">
    <w:name w:val="批注框文本 Char"/>
    <w:basedOn w:val="10"/>
    <w:link w:val="6"/>
    <w:qFormat/>
    <w:uiPriority w:val="0"/>
    <w:rPr>
      <w:rFonts w:ascii="Calibri" w:hAnsi="Calibri" w:eastAsia="宋体" w:cs="黑体"/>
      <w:kern w:val="2"/>
      <w:sz w:val="18"/>
      <w:szCs w:val="18"/>
    </w:rPr>
  </w:style>
  <w:style w:type="character" w:customStyle="1" w:styleId="20">
    <w:name w:val="页眉 Char"/>
    <w:basedOn w:val="10"/>
    <w:link w:val="8"/>
    <w:qFormat/>
    <w:uiPriority w:val="99"/>
    <w:rPr>
      <w:rFonts w:ascii="Calibri" w:hAnsi="Calibri" w:eastAsia="宋体" w:cs="黑体"/>
      <w:kern w:val="2"/>
      <w:sz w:val="18"/>
      <w:szCs w:val="18"/>
    </w:rPr>
  </w:style>
  <w:style w:type="character" w:customStyle="1" w:styleId="21">
    <w:name w:val="页脚 Char"/>
    <w:basedOn w:val="10"/>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12</Pages>
  <Words>9383</Words>
  <Characters>10548</Characters>
  <Lines>83</Lines>
  <Paragraphs>23</Paragraphs>
  <TotalTime>1</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dcterms:modified xsi:type="dcterms:W3CDTF">2025-09-26T01:23:33Z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