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hint="eastAsia" w:ascii="宋体" w:hAnsi="宋体" w:cs="宋体"/>
          <w:b/>
          <w:sz w:val="28"/>
          <w:szCs w:val="28"/>
          <w:highlight w:val="none"/>
        </w:rPr>
      </w:pPr>
      <w:r>
        <w:rPr>
          <w:rFonts w:hint="eastAsia" w:ascii="宋体" w:hAnsi="宋体" w:cs="宋体"/>
          <w:b/>
          <w:sz w:val="28"/>
          <w:szCs w:val="28"/>
          <w:highlight w:val="none"/>
        </w:rPr>
        <w:t>“金紫薇”共赢B系列</w:t>
      </w:r>
      <w:r>
        <w:rPr>
          <w:rFonts w:hint="eastAsia" w:ascii="宋体" w:hAnsi="宋体" w:cs="宋体"/>
          <w:b/>
          <w:sz w:val="28"/>
          <w:szCs w:val="28"/>
          <w:highlight w:val="none"/>
          <w:lang w:val="en-US" w:eastAsia="zh-CN"/>
        </w:rPr>
        <w:t>15</w:t>
      </w:r>
      <w:r>
        <w:rPr>
          <w:rFonts w:hint="eastAsia" w:ascii="宋体" w:hAnsi="宋体" w:cs="宋体"/>
          <w:b/>
          <w:sz w:val="28"/>
          <w:szCs w:val="28"/>
          <w:highlight w:val="none"/>
          <w:lang w:eastAsia="zh-CN"/>
        </w:rPr>
        <w:t>号</w:t>
      </w:r>
      <w:r>
        <w:rPr>
          <w:rFonts w:hint="eastAsia" w:ascii="宋体" w:hAnsi="宋体" w:cs="宋体"/>
          <w:b/>
          <w:sz w:val="28"/>
          <w:szCs w:val="28"/>
          <w:highlight w:val="none"/>
        </w:rPr>
        <w:t>人民币理财产品说明书</w:t>
      </w:r>
    </w:p>
    <w:p>
      <w:pPr>
        <w:snapToGrid w:val="0"/>
        <w:jc w:val="center"/>
        <w:rPr>
          <w:rFonts w:hint="eastAsia" w:ascii="宋体" w:hAnsi="宋体" w:eastAsia="宋体" w:cs="宋体"/>
          <w:b/>
          <w:sz w:val="28"/>
          <w:szCs w:val="28"/>
          <w:highlight w:val="none"/>
          <w:lang w:eastAsia="zh-CN"/>
        </w:rPr>
      </w:pPr>
      <w:r>
        <w:rPr>
          <w:rFonts w:hint="eastAsia" w:ascii="宋体" w:hAnsi="宋体" w:cs="宋体"/>
          <w:b/>
          <w:sz w:val="28"/>
          <w:szCs w:val="28"/>
          <w:highlight w:val="none"/>
          <w:lang w:eastAsia="zh-CN"/>
        </w:rPr>
        <w:t>（济南分行新客理财）</w:t>
      </w:r>
    </w:p>
    <w:p>
      <w:pPr>
        <w:adjustRightInd w:val="0"/>
        <w:snapToGrid w:val="0"/>
        <w:spacing w:line="360" w:lineRule="auto"/>
        <w:ind w:right="105"/>
        <w:jc w:val="center"/>
        <w:rPr>
          <w:rFonts w:ascii="宋体" w:hAnsi="宋体" w:cs="宋体"/>
          <w:szCs w:val="21"/>
          <w:highlight w:val="none"/>
          <w:u w:val="single"/>
        </w:rPr>
      </w:pPr>
    </w:p>
    <w:p>
      <w:pPr>
        <w:adjustRightInd w:val="0"/>
        <w:snapToGrid w:val="0"/>
        <w:spacing w:line="360" w:lineRule="auto"/>
        <w:ind w:right="105"/>
        <w:rPr>
          <w:rFonts w:ascii="宋体" w:hAnsi="宋体" w:cs="宋体"/>
          <w:b/>
          <w:bCs/>
          <w:sz w:val="28"/>
          <w:szCs w:val="28"/>
          <w:highlight w:val="none"/>
        </w:rPr>
      </w:pPr>
      <w:r>
        <w:rPr>
          <w:rFonts w:hint="eastAsia" w:ascii="宋体" w:hAnsi="宋体" w:cs="宋体"/>
          <w:b/>
          <w:bCs/>
          <w:sz w:val="28"/>
          <w:szCs w:val="28"/>
          <w:highlight w:val="none"/>
        </w:rPr>
        <w:t>重要提示：</w:t>
      </w:r>
    </w:p>
    <w:p>
      <w:pPr>
        <w:numPr>
          <w:ilvl w:val="0"/>
          <w:numId w:val="1"/>
        </w:numPr>
        <w:adjustRightInd w:val="0"/>
        <w:snapToGrid w:val="0"/>
        <w:spacing w:beforeLines="50" w:line="360" w:lineRule="auto"/>
        <w:ind w:right="105" w:firstLine="413" w:firstLineChars="196"/>
        <w:rPr>
          <w:rFonts w:ascii="宋体" w:hAnsi="宋体" w:cs="宋体"/>
          <w:b/>
          <w:bCs/>
          <w:szCs w:val="21"/>
          <w:highlight w:val="none"/>
        </w:rPr>
      </w:pPr>
      <w:r>
        <w:rPr>
          <w:rFonts w:hint="eastAsia" w:ascii="宋体" w:hAnsi="宋体" w:cs="宋体"/>
          <w:b/>
          <w:bCs/>
          <w:szCs w:val="21"/>
          <w:highlight w:val="none"/>
        </w:rPr>
        <w:t>理财非存款、产品有风险、投资</w:t>
      </w:r>
      <w:r>
        <w:rPr>
          <w:rFonts w:hint="eastAsia" w:ascii="宋体" w:hAnsi="宋体" w:cs="宋体"/>
          <w:b/>
          <w:bCs/>
          <w:szCs w:val="21"/>
          <w:highlight w:val="none"/>
          <w:lang w:eastAsia="zh-CN"/>
        </w:rPr>
        <w:t>须</w:t>
      </w:r>
      <w:r>
        <w:rPr>
          <w:rFonts w:hint="eastAsia" w:ascii="宋体" w:hAnsi="宋体" w:cs="宋体"/>
          <w:b/>
          <w:bCs/>
          <w:szCs w:val="21"/>
          <w:highlight w:val="none"/>
        </w:rPr>
        <w:t>谨慎。</w:t>
      </w:r>
    </w:p>
    <w:p>
      <w:pPr>
        <w:widowControl/>
        <w:adjustRightInd w:val="0"/>
        <w:snapToGrid w:val="0"/>
        <w:spacing w:line="360" w:lineRule="auto"/>
        <w:ind w:right="0" w:firstLine="413" w:firstLineChars="196"/>
        <w:jc w:val="left"/>
        <w:rPr>
          <w:rFonts w:ascii="宋体" w:hAnsi="宋体" w:cs="宋体"/>
          <w:b/>
          <w:bCs/>
          <w:szCs w:val="21"/>
          <w:highlight w:val="none"/>
        </w:rPr>
      </w:pPr>
      <w:r>
        <w:rPr>
          <w:rFonts w:hint="eastAsia" w:ascii="宋体" w:hAnsi="宋体" w:cs="宋体"/>
          <w:b/>
          <w:bCs/>
          <w:szCs w:val="21"/>
          <w:highlight w:val="none"/>
        </w:rPr>
        <w:t>2、投资者在购买理财产品前，应仔细阅读本说明书中各项条款，确保自身完全了解该项投资的性质、资金投资方向、风险类型及业绩比较基准等基本情况，经过慎重考虑后自行决定购买与自身风险承受能力和资产管理需求匹配的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3、本期理财产品存在信用风险、市场风险、 政策风险、流动性风险、再投资风险、信息传递风险、不可抗力和意外事件风险。</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4、本期理财产品为非保本理财产品，不保证本金和收益。最不利的投资情形下，投资者面临全部本金与收益的损失。</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5、本行提醒投资者关注，业绩比较基准</w:t>
      </w:r>
      <w:r>
        <w:rPr>
          <w:rFonts w:hint="eastAsia" w:ascii="宋体" w:hAnsi="宋体" w:cs="宋体"/>
          <w:b/>
          <w:bCs/>
          <w:szCs w:val="21"/>
          <w:highlight w:val="none"/>
          <w:lang w:eastAsia="zh-CN"/>
        </w:rPr>
        <w:t>不是预期收益率，不代表产品的未来表现和实际收益，不构成对产品的收益承诺</w:t>
      </w:r>
      <w:r>
        <w:rPr>
          <w:rFonts w:hint="eastAsia" w:ascii="宋体" w:hAnsi="宋体" w:cs="宋体"/>
          <w:b/>
          <w:bCs/>
          <w:szCs w:val="21"/>
          <w:highlight w:val="none"/>
        </w:rPr>
        <w:t>。最终收益率实现将视市场情况等因素而定。</w:t>
      </w:r>
    </w:p>
    <w:p>
      <w:pPr>
        <w:widowControl/>
        <w:adjustRightInd w:val="0"/>
        <w:snapToGrid w:val="0"/>
        <w:spacing w:line="360" w:lineRule="auto"/>
        <w:ind w:firstLine="413" w:firstLineChars="196"/>
        <w:jc w:val="left"/>
        <w:rPr>
          <w:rFonts w:ascii="宋体" w:hAnsi="宋体" w:cs="宋体"/>
          <w:szCs w:val="21"/>
          <w:highlight w:val="none"/>
        </w:rPr>
      </w:pPr>
      <w:r>
        <w:rPr>
          <w:rFonts w:hint="eastAsia" w:ascii="宋体" w:hAnsi="宋体" w:cs="宋体"/>
          <w:b/>
          <w:bCs/>
          <w:szCs w:val="21"/>
          <w:highlight w:val="none"/>
        </w:rPr>
        <w:t>6、如投资者认购的理财产品为净值型产品，投资者所持有的理财份额并不必然等于认购金额。</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7、投资者不得使用贷款、发行债券等筹集的非自有资金及非法所得资金投资本理财产品。投资者指定账户应保持正常状态，否则可能造成理财产品购买失败。</w:t>
      </w:r>
    </w:p>
    <w:p>
      <w:pPr>
        <w:widowControl/>
        <w:adjustRightInd w:val="0"/>
        <w:snapToGrid w:val="0"/>
        <w:spacing w:line="360" w:lineRule="auto"/>
        <w:ind w:firstLine="413" w:firstLineChars="196"/>
        <w:jc w:val="left"/>
        <w:rPr>
          <w:rFonts w:ascii="宋体" w:hAnsi="宋体" w:cs="宋体"/>
          <w:b/>
          <w:bCs/>
          <w:szCs w:val="21"/>
          <w:highlight w:val="none"/>
          <w:lang w:val="zh-CN"/>
        </w:rPr>
      </w:pPr>
      <w:r>
        <w:rPr>
          <w:rFonts w:hint="eastAsia" w:ascii="宋体" w:hAnsi="宋体" w:cs="宋体"/>
          <w:b/>
          <w:bCs/>
          <w:szCs w:val="21"/>
          <w:highlight w:val="none"/>
        </w:rPr>
        <w:t>8、本期理财产品不向投资者收取购买费用，</w:t>
      </w:r>
      <w:r>
        <w:rPr>
          <w:rFonts w:hint="eastAsia" w:ascii="宋体" w:hAnsi="宋体" w:cs="宋体"/>
          <w:b/>
          <w:bCs/>
          <w:szCs w:val="21"/>
          <w:highlight w:val="none"/>
          <w:lang w:val="zh-CN"/>
        </w:rPr>
        <w:t>销售手续费、托管费、固定管理费等费用由本期理财计划承担。理财收益的应纳税款由投资者自行申报、缴纳。</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9、本期理财产品在周期确认日至周期终止日期间，不支持投资者赎回。对应投资周期到期后，自动赎回。</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本期理财产品不支持投资者提前终止。如遇特殊情况，泰安银行有权提前终止本期理财产品。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10、投资者签署本说明书即表示同意授权泰安银行按照法律法规和监管要求向中国银保监会、人民法院等有权机关报送其个人信息，包括但不限于个人基本信息、投资理财的交易及持有等信息，无需泰安银行另行通知。</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11、投资者在购买本期理财产品后，应随时关注本期理财产品的信息披露情况，获取相关信息。</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12、泰安银行提示您关注本说明书“十、重要须知”。</w:t>
      </w: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一、产品基本信息</w:t>
      </w:r>
    </w:p>
    <w:tbl>
      <w:tblPr>
        <w:tblStyle w:val="13"/>
        <w:tblW w:w="9404"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2284"/>
        <w:gridCol w:w="712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产品名称</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hint="eastAsia" w:ascii="宋体" w:hAnsi="宋体" w:eastAsia="宋体" w:cs="宋体"/>
                <w:szCs w:val="21"/>
                <w:highlight w:val="none"/>
                <w:lang w:eastAsia="zh-CN"/>
              </w:rPr>
            </w:pPr>
            <w:r>
              <w:rPr>
                <w:rFonts w:hint="eastAsia" w:ascii="宋体" w:hAnsi="宋体" w:cs="宋体"/>
                <w:szCs w:val="21"/>
                <w:highlight w:val="none"/>
              </w:rPr>
              <w:t>“金紫薇”共赢B系列</w:t>
            </w:r>
            <w:r>
              <w:rPr>
                <w:rFonts w:hint="eastAsia" w:ascii="宋体" w:hAnsi="宋体" w:cs="宋体"/>
                <w:szCs w:val="21"/>
                <w:highlight w:val="none"/>
                <w:lang w:val="en-US" w:eastAsia="zh-CN"/>
              </w:rPr>
              <w:t>15</w:t>
            </w:r>
            <w:r>
              <w:rPr>
                <w:rFonts w:hint="eastAsia" w:ascii="宋体" w:hAnsi="宋体" w:cs="宋体"/>
                <w:szCs w:val="21"/>
                <w:highlight w:val="none"/>
                <w:lang w:eastAsia="zh-CN"/>
              </w:rPr>
              <w:t>号</w:t>
            </w:r>
            <w:r>
              <w:rPr>
                <w:rFonts w:hint="eastAsia" w:ascii="宋体" w:hAnsi="宋体" w:cs="宋体"/>
                <w:szCs w:val="21"/>
                <w:highlight w:val="none"/>
              </w:rPr>
              <w:t>人民币理财产品</w:t>
            </w:r>
            <w:r>
              <w:rPr>
                <w:rFonts w:hint="eastAsia" w:ascii="宋体" w:hAnsi="宋体" w:cs="宋体"/>
                <w:szCs w:val="21"/>
                <w:highlight w:val="none"/>
                <w:lang w:eastAsia="zh-CN"/>
              </w:rPr>
              <w:t>（济南分行新客理财）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74"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14"/>
              <w:ind w:left="155"/>
              <w:jc w:val="center"/>
              <w:rPr>
                <w:szCs w:val="21"/>
                <w:highlight w:val="none"/>
                <w:lang w:val="en-US"/>
              </w:rPr>
            </w:pPr>
            <w:r>
              <w:rPr>
                <w:rFonts w:hint="eastAsia"/>
                <w:szCs w:val="21"/>
                <w:highlight w:val="none"/>
                <w:lang w:val="en-US"/>
              </w:rPr>
              <w:t>理财信息登记系统</w:t>
            </w:r>
          </w:p>
          <w:p>
            <w:pPr>
              <w:pStyle w:val="14"/>
              <w:ind w:left="155"/>
              <w:jc w:val="center"/>
              <w:rPr>
                <w:szCs w:val="21"/>
                <w:highlight w:val="none"/>
              </w:rPr>
            </w:pPr>
            <w:r>
              <w:rPr>
                <w:rFonts w:hint="eastAsia"/>
                <w:szCs w:val="21"/>
                <w:highlight w:val="none"/>
                <w:lang w:val="en-US"/>
              </w:rPr>
              <w:t>产品登记编码</w:t>
            </w:r>
          </w:p>
        </w:tc>
        <w:tc>
          <w:tcPr>
            <w:tcW w:w="7120" w:type="dxa"/>
            <w:tcBorders>
              <w:top w:val="outset" w:color="auto" w:sz="6" w:space="0"/>
              <w:left w:val="nil"/>
              <w:bottom w:val="outset" w:color="auto" w:sz="6" w:space="0"/>
              <w:right w:val="outset" w:color="auto" w:sz="6" w:space="0"/>
            </w:tcBorders>
            <w:vAlign w:val="center"/>
          </w:tcPr>
          <w:p>
            <w:pPr>
              <w:pStyle w:val="9"/>
              <w:widowControl/>
              <w:rPr>
                <w:rFonts w:ascii="宋体" w:hAnsi="宋体" w:cs="宋体"/>
                <w:kern w:val="2"/>
                <w:sz w:val="21"/>
                <w:szCs w:val="21"/>
                <w:highlight w:val="none"/>
              </w:rPr>
            </w:pPr>
            <w:r>
              <w:rPr>
                <w:rFonts w:hint="eastAsia" w:ascii="宋体" w:hAnsi="宋体" w:cs="宋体"/>
                <w:sz w:val="21"/>
                <w:szCs w:val="21"/>
              </w:rPr>
              <w:t>C1315823000015</w:t>
            </w:r>
            <w:r>
              <w:rPr>
                <w:rFonts w:hint="eastAsia" w:ascii="宋体" w:hAnsi="宋体" w:cs="宋体"/>
                <w:kern w:val="2"/>
                <w:sz w:val="21"/>
                <w:szCs w:val="21"/>
              </w:rPr>
              <w:t>（可通过中国理财网</w:t>
            </w:r>
            <w:r>
              <w:fldChar w:fldCharType="begin"/>
            </w:r>
            <w:r>
              <w:instrText xml:space="preserve"> HYPERLINK "http://www.chinawealth.com.cn/" </w:instrText>
            </w:r>
            <w:r>
              <w:fldChar w:fldCharType="separate"/>
            </w:r>
            <w:r>
              <w:rPr>
                <w:rFonts w:hint="eastAsia" w:ascii="宋体" w:hAnsi="宋体" w:cs="宋体"/>
                <w:kern w:val="2"/>
                <w:sz w:val="21"/>
                <w:szCs w:val="21"/>
              </w:rPr>
              <w:t>http://www.chinawealth.com.cn</w:t>
            </w:r>
            <w:r>
              <w:rPr>
                <w:rFonts w:hint="eastAsia" w:ascii="宋体" w:hAnsi="宋体" w:cs="宋体"/>
                <w:kern w:val="2"/>
                <w:sz w:val="21"/>
                <w:szCs w:val="21"/>
              </w:rPr>
              <w:fldChar w:fldCharType="end"/>
            </w:r>
            <w:r>
              <w:rPr>
                <w:rFonts w:hint="eastAsia" w:ascii="宋体" w:hAnsi="宋体" w:cs="宋体"/>
                <w:kern w:val="2"/>
                <w:sz w:val="21"/>
                <w:szCs w:val="21"/>
              </w:rPr>
              <w:t>查询产品信息）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产品代码</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lang w:val="en-US"/>
              </w:rPr>
            </w:pPr>
            <w:r>
              <w:rPr>
                <w:rFonts w:hint="eastAsia" w:ascii="宋体" w:hAnsi="宋体" w:cs="宋体"/>
                <w:szCs w:val="21"/>
                <w:lang w:eastAsia="zh-CN"/>
              </w:rPr>
              <w:t>B2</w:t>
            </w:r>
            <w:r>
              <w:rPr>
                <w:rFonts w:hint="eastAsia" w:ascii="宋体" w:hAnsi="宋体" w:cs="宋体"/>
                <w:szCs w:val="21"/>
                <w:lang w:val="en-US" w:eastAsia="zh-CN"/>
              </w:rPr>
              <w:t>3015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21"/>
                <w:highlight w:val="none"/>
              </w:rPr>
              <w:t>产品类型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b/>
                <w:bCs/>
                <w:szCs w:val="21"/>
                <w:highlight w:val="none"/>
              </w:rPr>
            </w:pPr>
            <w:r>
              <w:rPr>
                <w:rFonts w:hint="eastAsia" w:ascii="宋体" w:hAnsi="宋体" w:cs="宋体"/>
                <w:b/>
                <w:bCs/>
                <w:szCs w:val="21"/>
                <w:highlight w:val="none"/>
              </w:rPr>
              <w:t>非保本开放式净值型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适合客户类型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szCs w:val="21"/>
                <w:highlight w:val="none"/>
              </w:rPr>
            </w:pPr>
            <w:r>
              <w:rPr>
                <w:rFonts w:hint="eastAsia" w:ascii="宋体" w:hAnsi="宋体" w:cs="宋体"/>
                <w:szCs w:val="21"/>
                <w:highlight w:val="none"/>
              </w:rPr>
              <w:t>1、适合经泰安银行个人客户投资风险承受能力评估体系评定为稳健型、平衡型、成长型、进取型的有投资经验和无投资经验的个人客户。</w:t>
            </w:r>
          </w:p>
          <w:p>
            <w:pPr>
              <w:rPr>
                <w:rFonts w:ascii="宋体" w:hAnsi="宋体" w:cs="宋体"/>
                <w:szCs w:val="21"/>
                <w:highlight w:val="none"/>
              </w:rPr>
            </w:pPr>
            <w:r>
              <w:rPr>
                <w:rFonts w:hint="eastAsia" w:ascii="宋体" w:hAnsi="宋体"/>
                <w:szCs w:val="30"/>
                <w:highlight w:val="none"/>
              </w:rPr>
              <w:t>2、适合有投资经验和无投资经验的机构客户。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 w:val="24"/>
                <w:highlight w:val="none"/>
              </w:rPr>
              <w:t>募集</w:t>
            </w:r>
            <w:r>
              <w:rPr>
                <w:rFonts w:hint="eastAsia" w:ascii="宋体" w:hAnsi="宋体" w:cs="宋体"/>
                <w:szCs w:val="21"/>
                <w:highlight w:val="none"/>
              </w:rPr>
              <w:t>期</w:t>
            </w:r>
          </w:p>
        </w:tc>
        <w:tc>
          <w:tcPr>
            <w:tcW w:w="7120" w:type="dxa"/>
            <w:tcBorders>
              <w:top w:val="outset" w:color="auto" w:sz="6" w:space="0"/>
              <w:left w:val="nil"/>
              <w:bottom w:val="outset" w:color="auto" w:sz="6" w:space="0"/>
              <w:right w:val="outset" w:color="auto" w:sz="6" w:space="0"/>
            </w:tcBorders>
            <w:vAlign w:val="center"/>
          </w:tcPr>
          <w:p>
            <w:pPr>
              <w:pStyle w:val="14"/>
              <w:rPr>
                <w:szCs w:val="21"/>
                <w:lang w:val="en-US"/>
              </w:rPr>
            </w:pPr>
            <w:r>
              <w:rPr>
                <w:rFonts w:hint="eastAsia"/>
                <w:szCs w:val="21"/>
                <w:lang w:val="en-US"/>
              </w:rPr>
              <w:t>202</w:t>
            </w:r>
            <w:r>
              <w:rPr>
                <w:rFonts w:hint="eastAsia"/>
                <w:szCs w:val="21"/>
                <w:lang w:val="en-US" w:eastAsia="zh-CN"/>
              </w:rPr>
              <w:t>3</w:t>
            </w:r>
            <w:r>
              <w:rPr>
                <w:rFonts w:hint="eastAsia"/>
                <w:szCs w:val="21"/>
                <w:lang w:val="en-US"/>
              </w:rPr>
              <w:t>年0</w:t>
            </w:r>
            <w:r>
              <w:rPr>
                <w:rFonts w:hint="eastAsia"/>
                <w:szCs w:val="21"/>
                <w:lang w:val="en-US" w:eastAsia="zh-CN"/>
              </w:rPr>
              <w:t>7</w:t>
            </w:r>
            <w:r>
              <w:rPr>
                <w:rFonts w:hint="eastAsia"/>
                <w:szCs w:val="21"/>
                <w:lang w:val="en-US"/>
              </w:rPr>
              <w:t>月</w:t>
            </w:r>
            <w:r>
              <w:rPr>
                <w:rFonts w:hint="eastAsia"/>
                <w:szCs w:val="21"/>
                <w:lang w:val="en-US" w:eastAsia="zh-CN"/>
              </w:rPr>
              <w:t>12</w:t>
            </w:r>
            <w:r>
              <w:rPr>
                <w:rFonts w:hint="eastAsia"/>
                <w:szCs w:val="21"/>
                <w:lang w:val="en-US"/>
              </w:rPr>
              <w:t>日08:30至202</w:t>
            </w:r>
            <w:r>
              <w:rPr>
                <w:rFonts w:hint="eastAsia"/>
                <w:szCs w:val="21"/>
                <w:lang w:val="en-US" w:eastAsia="zh-CN"/>
              </w:rPr>
              <w:t>3</w:t>
            </w:r>
            <w:r>
              <w:rPr>
                <w:rFonts w:hint="eastAsia"/>
                <w:szCs w:val="21"/>
                <w:lang w:val="en-US"/>
              </w:rPr>
              <w:t>年0</w:t>
            </w:r>
            <w:r>
              <w:rPr>
                <w:rFonts w:hint="eastAsia"/>
                <w:szCs w:val="21"/>
                <w:lang w:val="en-US" w:eastAsia="zh-CN"/>
              </w:rPr>
              <w:t>7</w:t>
            </w:r>
            <w:r>
              <w:rPr>
                <w:rFonts w:hint="eastAsia"/>
                <w:szCs w:val="21"/>
                <w:lang w:val="en-US"/>
              </w:rPr>
              <w:t>月</w:t>
            </w:r>
            <w:r>
              <w:rPr>
                <w:rFonts w:hint="eastAsia"/>
                <w:szCs w:val="21"/>
                <w:lang w:val="en-US" w:eastAsia="zh-CN"/>
              </w:rPr>
              <w:t>17</w:t>
            </w:r>
            <w:r>
              <w:rPr>
                <w:rFonts w:hint="eastAsia"/>
                <w:szCs w:val="21"/>
                <w:lang w:val="en-US"/>
              </w:rPr>
              <w:t>日17:30</w:t>
            </w:r>
          </w:p>
          <w:p>
            <w:pPr>
              <w:pStyle w:val="14"/>
              <w:ind w:left="107" w:leftChars="0"/>
              <w:rPr>
                <w:highlight w:val="none"/>
              </w:rPr>
            </w:pPr>
            <w:r>
              <w:rPr>
                <w:spacing w:val="-3"/>
              </w:rPr>
              <w:t>(银行早晚系统批量清算期</w:t>
            </w:r>
            <w:r>
              <w:t>间无法购买)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成立日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202</w:t>
            </w:r>
            <w:r>
              <w:rPr>
                <w:rFonts w:hint="eastAsia" w:ascii="宋体" w:hAnsi="宋体" w:cs="宋体"/>
                <w:szCs w:val="21"/>
                <w:lang w:val="en-US" w:eastAsia="zh-CN"/>
              </w:rPr>
              <w:t>3</w:t>
            </w:r>
            <w:r>
              <w:rPr>
                <w:rFonts w:hint="eastAsia" w:ascii="宋体" w:hAnsi="宋体" w:cs="宋体"/>
                <w:szCs w:val="21"/>
              </w:rPr>
              <w:t>年0</w:t>
            </w:r>
            <w:r>
              <w:rPr>
                <w:rFonts w:hint="eastAsia" w:ascii="宋体" w:hAnsi="宋体" w:cs="宋体"/>
                <w:szCs w:val="21"/>
                <w:lang w:val="en-US" w:eastAsia="zh-CN"/>
              </w:rPr>
              <w:t>7</w:t>
            </w:r>
            <w:r>
              <w:rPr>
                <w:rFonts w:hint="eastAsia" w:ascii="宋体" w:hAnsi="宋体" w:cs="宋体"/>
                <w:szCs w:val="21"/>
              </w:rPr>
              <w:t>月</w:t>
            </w:r>
            <w:r>
              <w:rPr>
                <w:rFonts w:hint="eastAsia" w:ascii="宋体" w:hAnsi="宋体" w:cs="宋体"/>
                <w:szCs w:val="21"/>
                <w:lang w:val="en-US" w:eastAsia="zh-CN"/>
              </w:rPr>
              <w:t>18</w:t>
            </w:r>
            <w:r>
              <w:rPr>
                <w:rFonts w:hint="eastAsia" w:ascii="宋体" w:hAnsi="宋体" w:cs="宋体"/>
                <w:szCs w:val="21"/>
              </w:rPr>
              <w:t>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到期日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203</w:t>
            </w:r>
            <w:r>
              <w:rPr>
                <w:rFonts w:hint="eastAsia" w:ascii="宋体" w:hAnsi="宋体" w:cs="宋体"/>
                <w:szCs w:val="21"/>
                <w:lang w:val="en-US" w:eastAsia="zh-CN"/>
              </w:rPr>
              <w:t>3</w:t>
            </w:r>
            <w:r>
              <w:rPr>
                <w:rFonts w:hint="eastAsia" w:ascii="宋体" w:hAnsi="宋体" w:cs="宋体"/>
                <w:szCs w:val="21"/>
              </w:rPr>
              <w:t>年12月31日（</w:t>
            </w:r>
            <w:r>
              <w:rPr>
                <w:rFonts w:hint="eastAsia" w:ascii="宋体" w:hAnsi="宋体" w:cs="宋体"/>
                <w:kern w:val="0"/>
                <w:szCs w:val="21"/>
              </w:rPr>
              <w:t>实际存续期限受制于泰安银行提前终止条款</w:t>
            </w:r>
            <w:r>
              <w:rPr>
                <w:rFonts w:hint="eastAsia"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产品规模上限</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产品总规模上限50亿元</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（不同投资周期内规模上限详见“募集期认购/投资周期申购要素信息表”）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申购开放期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1、本产品成立后根据产品实际运作情况设置申购开放区间，投资者可在开放区间内进行理财产品购买申请。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2、申购开放区间为开放日首日</w:t>
            </w:r>
            <w:r>
              <w:rPr>
                <w:rFonts w:hint="eastAsia" w:ascii="宋体" w:hAnsi="宋体" w:cs="宋体"/>
                <w:szCs w:val="21"/>
                <w:highlight w:val="none"/>
                <w:lang w:val="en-US" w:eastAsia="zh-CN"/>
              </w:rPr>
              <w:t>8</w:t>
            </w:r>
            <w:r>
              <w:rPr>
                <w:rFonts w:hint="eastAsia" w:ascii="宋体" w:hAnsi="宋体" w:cs="宋体"/>
                <w:szCs w:val="21"/>
                <w:highlight w:val="none"/>
              </w:rPr>
              <w:t>:</w:t>
            </w:r>
            <w:r>
              <w:rPr>
                <w:rFonts w:hint="eastAsia" w:ascii="宋体" w:hAnsi="宋体" w:cs="宋体"/>
                <w:szCs w:val="21"/>
                <w:highlight w:val="none"/>
                <w:lang w:val="en-US" w:eastAsia="zh-CN"/>
              </w:rPr>
              <w:t>3</w:t>
            </w:r>
            <w:r>
              <w:rPr>
                <w:rFonts w:hint="eastAsia" w:ascii="宋体" w:hAnsi="宋体" w:cs="宋体"/>
                <w:szCs w:val="21"/>
                <w:highlight w:val="none"/>
              </w:rPr>
              <w:t>0-开放日末日17:30。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周期确认日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本产品成立后根据产品申购开放日设置相应周期确认日。泰安银行在每个周期确认日对相应申购开放期内理财产品购买申请进行份额确认处理。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投资周期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按照投资周期开放申购，泰安银行作为本产品的管理人将根据投资组合需要，设置不同投资周期及其相应申购开放期，同一开放期内可能设置一个或多个可选投资周期，每一个投资周期为该投资周期确认日至该投资周期终止日的理财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购买金额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1、不同投资周期内最低购买金额具体详见各“募集期认购/投资周期申购要素信息表”。</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2、投资者在不同投资周期内的最低购买金额按照单一投资周期计算。</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 w:val="21"/>
                <w:szCs w:val="21"/>
                <w:highlight w:val="none"/>
              </w:rPr>
            </w:pPr>
            <w:r>
              <w:rPr>
                <w:rFonts w:hint="eastAsia" w:ascii="宋体" w:hAnsi="宋体" w:cs="宋体"/>
                <w:b/>
                <w:bCs/>
                <w:szCs w:val="21"/>
                <w:highlight w:val="none"/>
              </w:rPr>
              <w:t>赎回</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 w:val="21"/>
                <w:szCs w:val="21"/>
                <w:highlight w:val="none"/>
              </w:rPr>
            </w:pPr>
            <w:r>
              <w:rPr>
                <w:rFonts w:hint="eastAsia" w:ascii="宋体" w:hAnsi="宋体" w:cs="宋体"/>
                <w:b/>
                <w:bCs/>
                <w:szCs w:val="30"/>
                <w:highlight w:val="none"/>
              </w:rPr>
              <w:t>在周期确认日至周期终止日期间，客户无赎回权。一个投资周期结束后，客户认购（申购）成功的投资周期理财产品份额自动赎回。</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业绩比较基准</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hint="eastAsia" w:ascii="宋体" w:hAnsi="宋体" w:cs="宋体"/>
                <w:szCs w:val="21"/>
                <w:highlight w:val="none"/>
              </w:rPr>
            </w:pPr>
            <w:r>
              <w:rPr>
                <w:rFonts w:hint="eastAsia" w:ascii="宋体" w:hAnsi="宋体" w:cs="宋体"/>
                <w:szCs w:val="21"/>
                <w:highlight w:val="none"/>
              </w:rPr>
              <w:t>泰安银行作为本理财产品的管理人，将根据本理财产品的投资组合在不同投资周期设立动态业绩比较基准，具体详见“募集期认购/投资周期申购要素信息表”或“募集期/投资周期业绩比较基准查询表”。</w:t>
            </w:r>
          </w:p>
          <w:p>
            <w:pPr>
              <w:widowControl/>
              <w:adjustRightInd w:val="0"/>
              <w:snapToGrid w:val="0"/>
              <w:spacing w:line="360" w:lineRule="auto"/>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本产品为净值型产品，</w:t>
            </w:r>
            <w:r>
              <w:rPr>
                <w:rFonts w:hint="eastAsia" w:ascii="宋体" w:hAnsi="宋体" w:cs="宋体"/>
                <w:b w:val="0"/>
                <w:bCs w:val="0"/>
                <w:szCs w:val="21"/>
                <w:highlight w:val="none"/>
              </w:rPr>
              <w:t>业绩比较基准</w:t>
            </w:r>
            <w:r>
              <w:rPr>
                <w:rFonts w:hint="eastAsia" w:ascii="宋体" w:hAnsi="宋体" w:cs="宋体"/>
                <w:b w:val="0"/>
                <w:bCs w:val="0"/>
                <w:szCs w:val="21"/>
                <w:highlight w:val="none"/>
                <w:lang w:eastAsia="zh-CN"/>
              </w:rPr>
              <w:t>不是预期收益率，不代表产品的未来表现和实际收益，不构成对产品的收益承诺，</w:t>
            </w:r>
            <w:r>
              <w:rPr>
                <w:rFonts w:hint="eastAsia" w:ascii="宋体" w:hAnsi="宋体" w:eastAsia="宋体" w:cs="宋体"/>
                <w:sz w:val="21"/>
                <w:szCs w:val="21"/>
                <w:highlight w:val="none"/>
              </w:rPr>
              <w:t>业绩表现将随市场波动，具有不确定性</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 xml:space="preserve">投资者不应将业绩比较基准作为持有本理财计划份额到期的综合投资收益参考值。 </w:t>
            </w:r>
          </w:p>
          <w:p>
            <w:pPr>
              <w:widowControl/>
              <w:adjustRightInd w:val="0"/>
              <w:snapToGrid w:val="0"/>
              <w:spacing w:line="360" w:lineRule="auto"/>
              <w:jc w:val="left"/>
              <w:rPr>
                <w:rFonts w:hint="eastAsia" w:ascii="宋体" w:hAnsi="宋体" w:cs="宋体"/>
                <w:szCs w:val="21"/>
                <w:highlight w:val="none"/>
              </w:rPr>
            </w:pPr>
            <w:r>
              <w:rPr>
                <w:rFonts w:hint="eastAsia" w:ascii="宋体" w:hAnsi="宋体" w:eastAsia="宋体" w:cs="宋体"/>
                <w:sz w:val="21"/>
                <w:szCs w:val="21"/>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单位净值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1、单位净值为提取相关税费后的单位理财产品份额净值，产品周期终止、产品到期或提前终止时，按产品最新单位净值计算投资本金及收益。</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2、募集期内初始单位净值为1元/份，产品存续期内根据资产组合投资运作出现盈利（亏损），单位净值将</w:t>
            </w:r>
            <w:r>
              <w:rPr>
                <w:rFonts w:hint="eastAsia" w:ascii="宋体" w:hAnsi="宋体" w:cs="宋体"/>
                <w:szCs w:val="21"/>
                <w:highlight w:val="none"/>
                <w:lang w:val="zh-CN"/>
              </w:rPr>
              <w:t>上升（或下降）。</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3、本产品成立后泰安银行将定期公布该产品单位净值，单位净值保留至8位小数。投资者可通过泰安银行网上银行、手机银行等渠道查询。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认购（申购）份额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认购（申购）份额＝投资金额/单位净值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参考市值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参考市值=产品份额*单位净值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销售渠道</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kern w:val="0"/>
                <w:szCs w:val="21"/>
                <w:highlight w:val="none"/>
              </w:rPr>
              <w:t>泰安银行</w:t>
            </w:r>
            <w:r>
              <w:rPr>
                <w:rFonts w:hint="eastAsia" w:ascii="宋体" w:hAnsi="宋体" w:cs="宋体"/>
                <w:kern w:val="0"/>
                <w:szCs w:val="21"/>
                <w:highlight w:val="none"/>
                <w:lang w:eastAsia="zh-CN"/>
              </w:rPr>
              <w:t>济南分行</w:t>
            </w:r>
            <w:r>
              <w:rPr>
                <w:rFonts w:hint="eastAsia" w:ascii="宋体" w:hAnsi="宋体" w:cs="宋体"/>
                <w:kern w:val="0"/>
                <w:szCs w:val="21"/>
                <w:highlight w:val="none"/>
              </w:rPr>
              <w:t>各营业网点、网上银行及手机银行客户端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银行销售手续费率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ascii="宋体" w:hAnsi="宋体" w:cs="宋体"/>
                <w:highlight w:val="none"/>
                <w:lang w:val="zh-CN" w:bidi="zh-CN"/>
              </w:rPr>
              <w:t>0.</w:t>
            </w:r>
            <w:r>
              <w:rPr>
                <w:rFonts w:hint="eastAsia" w:ascii="宋体" w:hAnsi="宋体" w:cs="宋体"/>
                <w:highlight w:val="none"/>
                <w:lang w:val="en-US" w:bidi="zh-CN"/>
              </w:rPr>
              <w:t>05</w:t>
            </w:r>
            <w:r>
              <w:rPr>
                <w:rFonts w:ascii="宋体" w:hAnsi="宋体" w:cs="宋体"/>
                <w:highlight w:val="none"/>
                <w:lang w:val="zh-CN" w:bidi="zh-CN"/>
              </w:rPr>
              <w:t>%（年</w:t>
            </w:r>
            <w:r>
              <w:rPr>
                <w:rFonts w:hint="eastAsia" w:ascii="宋体" w:hAnsi="宋体" w:cs="宋体"/>
                <w:highlight w:val="none"/>
                <w:lang w:val="zh-CN" w:bidi="zh-CN"/>
              </w:rPr>
              <w:t>化</w:t>
            </w:r>
            <w:r>
              <w:rPr>
                <w:rFonts w:ascii="宋体" w:hAnsi="宋体" w:cs="宋体"/>
                <w:highlight w:val="none"/>
                <w:lang w:val="zh-CN" w:bidi="zh-CN"/>
              </w:rPr>
              <w:t>）</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bidi="zh-CN"/>
              </w:rPr>
            </w:pPr>
            <w:r>
              <w:rPr>
                <w:rFonts w:hint="eastAsia" w:ascii="宋体" w:hAnsi="宋体" w:cs="宋体"/>
                <w:highlight w:val="none"/>
                <w:lang w:val="zh-CN" w:bidi="zh-CN"/>
              </w:rPr>
              <w:t>托管、估值</w:t>
            </w:r>
            <w:r>
              <w:rPr>
                <w:rFonts w:ascii="宋体" w:hAnsi="宋体" w:cs="宋体"/>
                <w:highlight w:val="none"/>
                <w:lang w:val="zh-CN" w:bidi="zh-CN"/>
              </w:rPr>
              <w:t>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0.0</w:t>
            </w:r>
            <w:r>
              <w:rPr>
                <w:rFonts w:hint="eastAsia" w:ascii="宋体" w:hAnsi="宋体" w:cs="宋体"/>
                <w:highlight w:val="none"/>
                <w:lang w:val="zh-CN" w:bidi="zh-CN"/>
              </w:rPr>
              <w:t>1</w:t>
            </w:r>
            <w:r>
              <w:rPr>
                <w:rFonts w:ascii="宋体" w:hAnsi="宋体" w:cs="宋体"/>
                <w:highlight w:val="none"/>
                <w:lang w:val="zh-CN" w:bidi="zh-CN"/>
              </w:rPr>
              <w:t>%（年化）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9"/>
              <w:widowControl/>
              <w:spacing w:beforeAutospacing="0" w:afterAutospacing="0" w:line="15" w:lineRule="atLeast"/>
              <w:jc w:val="center"/>
              <w:rPr>
                <w:rFonts w:ascii="宋体" w:hAnsi="宋体" w:cs="宋体"/>
                <w:kern w:val="2"/>
                <w:sz w:val="21"/>
                <w:highlight w:val="none"/>
                <w:lang w:bidi="zh-CN"/>
              </w:rPr>
            </w:pPr>
            <w:r>
              <w:rPr>
                <w:rFonts w:ascii="宋体" w:hAnsi="宋体" w:cs="宋体"/>
                <w:kern w:val="2"/>
                <w:sz w:val="21"/>
                <w:highlight w:val="none"/>
                <w:lang w:val="zh-CN" w:bidi="zh-CN"/>
              </w:rPr>
              <w:t>固定管理费率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w:t>
            </w:r>
            <w:r>
              <w:rPr>
                <w:rFonts w:hint="eastAsia" w:ascii="宋体" w:hAnsi="宋体" w:cs="宋体"/>
                <w:highlight w:val="none"/>
                <w:lang w:val="en-US" w:bidi="zh-CN"/>
              </w:rPr>
              <w:t>05</w:t>
            </w:r>
            <w:r>
              <w:rPr>
                <w:rFonts w:ascii="宋体" w:hAnsi="宋体" w:cs="宋体"/>
                <w:highlight w:val="none"/>
                <w:lang w:val="zh-CN" w:bidi="zh-CN"/>
              </w:rPr>
              <w:t>%（年化）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浮动管理费率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hint="eastAsia" w:ascii="宋体" w:hAnsi="宋体" w:cs="宋体"/>
                <w:highlight w:val="none"/>
                <w:lang w:val="zh-CN" w:bidi="zh-CN"/>
              </w:rPr>
              <w:t>泰安</w:t>
            </w:r>
            <w:r>
              <w:rPr>
                <w:rFonts w:ascii="宋体" w:hAnsi="宋体" w:cs="宋体"/>
                <w:highlight w:val="none"/>
                <w:lang w:val="zh-CN" w:bidi="zh-CN"/>
              </w:rPr>
              <w:t>银行（管理人）有权收取浮动管理费。在扣除</w:t>
            </w:r>
            <w:r>
              <w:rPr>
                <w:rFonts w:hint="eastAsia" w:ascii="宋体" w:hAnsi="宋体" w:cs="宋体"/>
                <w:highlight w:val="none"/>
                <w:lang w:val="zh-CN" w:bidi="zh-CN"/>
              </w:rPr>
              <w:t>销售手续费、</w:t>
            </w:r>
            <w:r>
              <w:rPr>
                <w:rFonts w:ascii="宋体" w:hAnsi="宋体" w:cs="宋体"/>
                <w:highlight w:val="none"/>
                <w:lang w:val="zh-CN" w:bidi="zh-CN"/>
              </w:rPr>
              <w:t>托管费、固定管理费、产品应承担的增值税及其附加等相关税费后，产品</w:t>
            </w:r>
            <w:r>
              <w:rPr>
                <w:spacing w:val="-10"/>
                <w:highlight w:val="none"/>
              </w:rPr>
              <w:t>投资运作收益</w:t>
            </w:r>
            <w:r>
              <w:rPr>
                <w:rFonts w:ascii="宋体" w:hAnsi="宋体" w:cs="宋体"/>
                <w:highlight w:val="none"/>
                <w:lang w:val="zh-CN" w:bidi="zh-CN"/>
              </w:rPr>
              <w:t>超过业绩比较基准的部分，</w:t>
            </w:r>
            <w:r>
              <w:rPr>
                <w:rFonts w:hint="eastAsia" w:ascii="宋体" w:hAnsi="宋体" w:cs="宋体"/>
                <w:highlight w:val="none"/>
                <w:lang w:val="zh-CN" w:bidi="zh-CN"/>
              </w:rPr>
              <w:t>泰安</w:t>
            </w:r>
            <w:r>
              <w:rPr>
                <w:rFonts w:ascii="宋体" w:hAnsi="宋体" w:cs="宋体"/>
                <w:highlight w:val="none"/>
                <w:lang w:val="zh-CN" w:bidi="zh-CN"/>
              </w:rPr>
              <w:t>银行（管理人）100%计提浮动管理费。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0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 w:val="21"/>
                <w:szCs w:val="30"/>
                <w:highlight w:val="none"/>
              </w:rPr>
            </w:pPr>
            <w:r>
              <w:rPr>
                <w:rFonts w:hint="eastAsia" w:ascii="宋体" w:hAnsi="宋体" w:cs="宋体"/>
                <w:szCs w:val="30"/>
                <w:highlight w:val="none"/>
              </w:rPr>
              <w:t>理财收益</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 w:val="21"/>
                <w:szCs w:val="30"/>
                <w:highlight w:val="none"/>
              </w:rPr>
            </w:pPr>
            <w:r>
              <w:rPr>
                <w:rFonts w:hint="eastAsia" w:ascii="宋体" w:hAnsi="宋体" w:cs="宋体"/>
                <w:spacing w:val="0"/>
                <w:szCs w:val="30"/>
                <w:highlight w:val="none"/>
              </w:rPr>
              <w:t>按目前市场收益率水平测算，扣除相关税费（包括理财销售手续费、托管费、固定管理费等）后，如理财投资本金及收益可按时足额收回，则本理财计划周期终止或到期可实现“业绩比较基准”；如理财投资本金及收益未按时或足额收回，则本理财计划周期终止或到期收益可能降低，最不利情形损失部分或全部本金。</w:t>
            </w:r>
          </w:p>
          <w:p>
            <w:pPr>
              <w:widowControl/>
              <w:adjustRightInd w:val="0"/>
              <w:snapToGrid w:val="0"/>
              <w:spacing w:line="360" w:lineRule="auto"/>
              <w:jc w:val="left"/>
              <w:rPr>
                <w:rFonts w:ascii="宋体" w:hAnsi="宋体" w:cs="宋体"/>
                <w:sz w:val="21"/>
                <w:szCs w:val="30"/>
                <w:highlight w:val="none"/>
              </w:rPr>
            </w:pPr>
            <w:r>
              <w:rPr>
                <w:rFonts w:hint="eastAsia" w:ascii="宋体" w:hAnsi="宋体" w:cs="宋体"/>
                <w:szCs w:val="30"/>
                <w:highlight w:val="none"/>
              </w:rPr>
              <w:t>业绩基准并不代表产品实际投资收益，投资需谨慎。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30"/>
                <w:highlight w:val="none"/>
              </w:rPr>
            </w:pPr>
            <w:r>
              <w:rPr>
                <w:rFonts w:hint="eastAsia" w:ascii="宋体" w:hAnsi="宋体" w:cs="宋体"/>
                <w:b/>
                <w:bCs/>
                <w:szCs w:val="30"/>
                <w:highlight w:val="none"/>
              </w:rPr>
              <w:t>本金及收益兑付</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30"/>
                <w:highlight w:val="none"/>
              </w:rPr>
            </w:pPr>
            <w:r>
              <w:rPr>
                <w:rFonts w:hint="eastAsia" w:ascii="宋体" w:hAnsi="宋体" w:cs="宋体"/>
                <w:b/>
                <w:bCs/>
                <w:szCs w:val="30"/>
                <w:highlight w:val="none"/>
              </w:rPr>
              <w:t>投资本金及收益于投资周期实际到期日后两个工作日内划转至投资者账户，遇法定节假日顺延。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理财产品管理人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泰安银行股份有限公司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30"/>
                <w:highlight w:val="none"/>
              </w:rPr>
              <w:t>理财资产托管人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兴业银行股份有限公司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4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30"/>
              </w:rPr>
              <w:t>理财产品投资方向</w:t>
            </w:r>
          </w:p>
        </w:tc>
        <w:tc>
          <w:tcPr>
            <w:tcW w:w="7120" w:type="dxa"/>
            <w:tcBorders>
              <w:top w:val="outset" w:color="auto" w:sz="6" w:space="0"/>
              <w:left w:val="nil"/>
              <w:bottom w:val="outset" w:color="auto" w:sz="6" w:space="0"/>
              <w:right w:val="outset" w:color="auto" w:sz="6" w:space="0"/>
            </w:tcBorders>
            <w:vAlign w:val="center"/>
          </w:tcPr>
          <w:p>
            <w:pPr>
              <w:widowControl/>
              <w:numPr>
                <w:ilvl w:val="0"/>
                <w:numId w:val="2"/>
              </w:numPr>
              <w:adjustRightInd w:val="0"/>
              <w:snapToGrid w:val="0"/>
              <w:spacing w:line="360" w:lineRule="auto"/>
              <w:jc w:val="left"/>
              <w:rPr>
                <w:rFonts w:hint="eastAsia" w:ascii="宋体" w:hAnsi="宋体" w:cs="宋体"/>
                <w:b/>
                <w:bCs/>
                <w:szCs w:val="21"/>
              </w:rPr>
            </w:pPr>
            <w:r>
              <w:rPr>
                <w:rFonts w:hint="eastAsia" w:ascii="宋体" w:hAnsi="宋体" w:cs="宋体"/>
                <w:b/>
                <w:bCs/>
                <w:szCs w:val="21"/>
              </w:rPr>
              <w:t>本理财计划由泰安银行募集理财资金自行投资运作，投资对象主要包括：（1）固定收益类：我国银行间市场、交易所信用级别较高、流动性较好的金融工具，包括国债、地方政府债、央行票据、金融债、企业债和中期票据、公司债、短期（超短期）融资券、次级债、资产支持证券(ABS、ABN)、非公开定向债务融资工具(PPN)、可转债、可交债、债券基金、RITEs及以上述标的为底层的资产管理计划、信托计划等；债券回购、货币市场存拆放交易、同业借款、同业存款、同业存单、货币基金等金融工具及以上述标的为底层的资产管理计划、信托计划等；符合条件的非标准化债权资产；以及法律法规或中国银保监会允许投资的其他固定收益类金融工具。（2</w:t>
            </w:r>
            <w:r>
              <w:rPr>
                <w:rFonts w:hint="eastAsia" w:ascii="宋体" w:hAnsi="宋体" w:cs="宋体"/>
                <w:b/>
                <w:bCs/>
                <w:color w:val="auto"/>
                <w:szCs w:val="21"/>
              </w:rPr>
              <w:t>）权益类</w:t>
            </w:r>
            <w:r>
              <w:rPr>
                <w:rFonts w:hint="eastAsia" w:ascii="宋体" w:hAnsi="宋体" w:cs="宋体"/>
                <w:b/>
                <w:bCs/>
                <w:color w:val="auto"/>
                <w:szCs w:val="21"/>
                <w:lang w:eastAsia="zh-CN"/>
              </w:rPr>
              <w:t>基金</w:t>
            </w:r>
            <w:r>
              <w:rPr>
                <w:rFonts w:hint="eastAsia" w:ascii="宋体" w:hAnsi="宋体" w:cs="宋体"/>
                <w:b/>
                <w:bCs/>
                <w:color w:val="auto"/>
                <w:szCs w:val="21"/>
              </w:rPr>
              <w:t>、混合类</w:t>
            </w:r>
            <w:r>
              <w:rPr>
                <w:rFonts w:hint="eastAsia" w:ascii="宋体" w:hAnsi="宋体" w:cs="宋体"/>
                <w:b/>
                <w:bCs/>
                <w:color w:val="auto"/>
                <w:szCs w:val="21"/>
                <w:lang w:eastAsia="zh-CN"/>
              </w:rPr>
              <w:t>基金</w:t>
            </w:r>
            <w:r>
              <w:rPr>
                <w:rFonts w:hint="eastAsia" w:ascii="宋体" w:hAnsi="宋体" w:cs="宋体"/>
                <w:b/>
                <w:bCs/>
                <w:color w:val="auto"/>
                <w:szCs w:val="21"/>
              </w:rPr>
              <w:t>等</w:t>
            </w:r>
            <w:r>
              <w:rPr>
                <w:rFonts w:hint="eastAsia" w:ascii="宋体" w:hAnsi="宋体" w:cs="宋体"/>
                <w:b/>
                <w:bCs/>
                <w:color w:val="auto"/>
                <w:szCs w:val="21"/>
                <w:lang w:eastAsia="zh-CN"/>
              </w:rPr>
              <w:t>权益类、混合类</w:t>
            </w:r>
            <w:r>
              <w:rPr>
                <w:rFonts w:hint="eastAsia" w:ascii="宋体" w:hAnsi="宋体" w:cs="宋体"/>
                <w:b/>
                <w:bCs/>
                <w:color w:val="auto"/>
                <w:szCs w:val="21"/>
              </w:rPr>
              <w:t>其他符合监管要求的金融资产</w:t>
            </w:r>
            <w:r>
              <w:rPr>
                <w:rFonts w:hint="eastAsia" w:ascii="宋体" w:hAnsi="宋体" w:cs="宋体"/>
                <w:b/>
                <w:bCs/>
                <w:szCs w:val="21"/>
              </w:rPr>
              <w:t>。</w:t>
            </w:r>
          </w:p>
          <w:p>
            <w:pPr>
              <w:widowControl/>
              <w:numPr>
                <w:ilvl w:val="0"/>
                <w:numId w:val="2"/>
              </w:numPr>
              <w:adjustRightInd w:val="0"/>
              <w:snapToGrid w:val="0"/>
              <w:spacing w:line="360" w:lineRule="auto"/>
              <w:jc w:val="left"/>
              <w:rPr>
                <w:rFonts w:ascii="宋体" w:hAnsi="宋体" w:cs="宋体"/>
                <w:b/>
                <w:bCs/>
                <w:szCs w:val="21"/>
              </w:rPr>
            </w:pPr>
            <w:r>
              <w:rPr>
                <w:rFonts w:hint="eastAsia" w:ascii="宋体" w:hAnsi="宋体" w:cs="宋体"/>
                <w:b/>
                <w:bCs/>
                <w:szCs w:val="21"/>
              </w:rPr>
              <w:t>具体投向：固定收益类80~100%，权益类、混合类资产0~20%</w:t>
            </w:r>
            <w:r>
              <w:rPr>
                <w:rFonts w:ascii="宋体" w:hAnsi="宋体" w:cs="宋体"/>
                <w:b/>
                <w:bCs/>
                <w:szCs w:val="21"/>
              </w:rPr>
              <w:t>。</w:t>
            </w:r>
          </w:p>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rPr>
              <w:t>3、理财产品存续期内可能因市场的重大变化导致投资比例暂时超出上述区间，泰安银行有权根据市场情况，以客户利益最大化为原则，对本理财的投资范围、投资品种和投资比例进行调整，并尽快使投资比例恢复至上述规定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668"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税款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理财收益的应纳税款由投资者自行申报及缴纳，泰安银行不代扣代缴。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1641"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提前终止条款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highlight w:val="none"/>
              </w:rPr>
              <w:t>1、客户无权提前终止本期理财产品；</w:t>
            </w:r>
          </w:p>
          <w:p>
            <w:pPr>
              <w:widowControl/>
              <w:adjustRightInd w:val="0"/>
              <w:snapToGrid w:val="0"/>
              <w:spacing w:line="360" w:lineRule="auto"/>
              <w:jc w:val="left"/>
              <w:rPr>
                <w:rFonts w:ascii="宋体" w:hAnsi="宋体" w:cs="宋体"/>
                <w:szCs w:val="21"/>
                <w:highlight w:val="none"/>
              </w:rPr>
            </w:pPr>
            <w:r>
              <w:rPr>
                <w:rFonts w:ascii="宋体" w:hAnsi="宋体" w:cs="宋体"/>
                <w:b/>
                <w:bCs/>
                <w:szCs w:val="21"/>
                <w:highlight w:val="none"/>
              </w:rPr>
              <w:t>2、泰安银行有权按照实际投资情况，提前终止本期理财产品；</w:t>
            </w:r>
            <w:r>
              <w:rPr>
                <w:rFonts w:hint="eastAsia" w:ascii="宋体" w:hAnsi="宋体" w:cs="宋体"/>
                <w:szCs w:val="21"/>
                <w:highlight w:val="none"/>
              </w:rPr>
              <w:t>若本期理财产品提前终止，理财产品提前终止的，按照产品最新净值兑付客户；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3、泰安银行实施提前终止本期理财产品的原因包括但不限于：</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（1）遇国家法律、法规、监管规定及相关金融政策出现重大调整，拟投资资产市场出现重大变化并影响到本理财计划的正常运作；</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（2）其它原因导致泰安银行认为本期理财产品已经不适合继续帮助投资者实现投资目标的。</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4、如遇上述提前终止情况，泰安银行将在提前终止日前3个工作日在http://www.taccb.com.cn上进行公告，投资者请登录前述网站浏览和阅读相关信息；泰安银行也将通过短信平台对投资者尽到告知义务；</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5、泰安银行将在提前终止日后2个工作日内将理财资金划入投资者指定资金账户，提前终止日至资金到账日之间不计息。</w:t>
            </w:r>
          </w:p>
        </w:tc>
      </w:tr>
    </w:tbl>
    <w:p>
      <w:pPr>
        <w:numPr>
          <w:ilvl w:val="0"/>
          <w:numId w:val="3"/>
        </w:num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交易规则</w:t>
      </w:r>
    </w:p>
    <w:p>
      <w:pPr>
        <w:adjustRightInd w:val="0"/>
        <w:snapToGrid w:val="0"/>
        <w:spacing w:line="360" w:lineRule="auto"/>
        <w:ind w:right="105" w:firstLine="413" w:firstLineChars="196"/>
        <w:rPr>
          <w:rFonts w:ascii="宋体" w:hAnsi="宋体" w:cs="宋体"/>
          <w:szCs w:val="21"/>
          <w:highlight w:val="none"/>
        </w:rPr>
      </w:pPr>
      <w:r>
        <w:rPr>
          <w:rFonts w:hint="eastAsia"/>
          <w:b/>
          <w:highlight w:val="none"/>
        </w:rPr>
        <w:t>1、产品认购：</w:t>
      </w:r>
      <w:r>
        <w:rPr>
          <w:highlight w:val="none"/>
        </w:rPr>
        <w:t>募集期产品单位净</w:t>
      </w:r>
      <w:r>
        <w:rPr>
          <w:rFonts w:hint="eastAsia" w:ascii="宋体" w:hAnsi="宋体" w:cs="宋体"/>
          <w:szCs w:val="30"/>
          <w:highlight w:val="none"/>
        </w:rPr>
        <w:t>值为</w:t>
      </w:r>
      <w:r>
        <w:rPr>
          <w:rFonts w:hint="eastAsia" w:ascii="宋体" w:hAnsi="宋体" w:cs="宋体"/>
          <w:szCs w:val="21"/>
          <w:highlight w:val="none"/>
        </w:rPr>
        <w:t>1</w:t>
      </w:r>
      <w:r>
        <w:rPr>
          <w:rFonts w:hint="eastAsia" w:ascii="宋体" w:hAnsi="宋体" w:cs="宋体"/>
          <w:szCs w:val="30"/>
          <w:highlight w:val="none"/>
        </w:rPr>
        <w:t>元/份，认购份额=认购金额/1(元/份)。客户可在募集期内申请撤销购买</w:t>
      </w:r>
      <w:r>
        <w:rPr>
          <w:rFonts w:hint="eastAsia" w:ascii="宋体" w:hAnsi="宋体" w:cs="宋体"/>
          <w:szCs w:val="21"/>
          <w:highlight w:val="none"/>
        </w:rPr>
        <w:t>，撤销成功后，认购资金实时解冻结。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2、产品申购：</w:t>
      </w:r>
      <w:r>
        <w:rPr>
          <w:rFonts w:hint="eastAsia" w:ascii="宋体" w:hAnsi="宋体" w:cs="宋体"/>
          <w:szCs w:val="21"/>
          <w:highlight w:val="none"/>
        </w:rPr>
        <w:t>开放期内客户可申购本产品，申购交易遵循“金额申购、未知价交易”原则，投资者申购时仅能以理财产品历史单位净值作为参考，并最终</w:t>
      </w:r>
      <w:r>
        <w:rPr>
          <w:rFonts w:hint="eastAsia" w:ascii="宋体" w:hAnsi="宋体" w:cs="宋体"/>
          <w:b/>
          <w:bCs/>
          <w:szCs w:val="21"/>
          <w:highlight w:val="none"/>
        </w:rPr>
        <w:t>以申购申请所属</w:t>
      </w:r>
      <w:r>
        <w:rPr>
          <w:rFonts w:hint="eastAsia" w:ascii="宋体" w:hAnsi="宋体" w:cs="宋体"/>
          <w:b/>
          <w:bCs/>
          <w:szCs w:val="21"/>
          <w:highlight w:val="none"/>
          <w:lang w:eastAsia="zh-CN"/>
        </w:rPr>
        <w:t>开放期</w:t>
      </w:r>
      <w:r>
        <w:rPr>
          <w:rFonts w:hint="eastAsia" w:ascii="宋体" w:hAnsi="宋体" w:cs="宋体"/>
          <w:b/>
          <w:bCs/>
          <w:szCs w:val="21"/>
          <w:highlight w:val="none"/>
        </w:rPr>
        <w:t>对应的</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单位净值为准，申购份额=申购金额/</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w:t>
      </w:r>
      <w:r>
        <w:rPr>
          <w:rFonts w:hint="eastAsia" w:ascii="宋体" w:hAnsi="宋体" w:cs="宋体"/>
          <w:szCs w:val="21"/>
          <w:highlight w:val="none"/>
        </w:rPr>
        <w:t>申购申请仅可在所属</w:t>
      </w:r>
      <w:r>
        <w:rPr>
          <w:rFonts w:hint="eastAsia" w:ascii="宋体" w:hAnsi="宋体" w:cs="宋体"/>
          <w:szCs w:val="21"/>
          <w:highlight w:val="none"/>
          <w:lang w:eastAsia="zh-CN"/>
        </w:rPr>
        <w:t>开放期</w:t>
      </w:r>
      <w:r>
        <w:rPr>
          <w:rFonts w:hint="eastAsia" w:ascii="宋体" w:hAnsi="宋体" w:cs="宋体"/>
          <w:szCs w:val="21"/>
          <w:highlight w:val="none"/>
        </w:rPr>
        <w:t>内进行撤销，撤销成功后，申购资金实时解冻结。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3、份额确认：</w:t>
      </w:r>
      <w:r>
        <w:rPr>
          <w:rFonts w:hint="eastAsia" w:ascii="宋体" w:hAnsi="宋体" w:cs="宋体"/>
          <w:szCs w:val="21"/>
          <w:highlight w:val="none"/>
        </w:rPr>
        <w:t>募集期内购买的理财产品在产品成立日系统日启批量清算时进行资金扣划，在成立日系统日终批量清算时进行份额确认。申购开放期内购买的理财产品在周期确认日系统日启批量清算时进行资金扣款并进行份额确认。投资者提交认购（申购）交易，仅代表泰安银行受理投资者的交易申请，该申请最终是否成功以泰安银行份额确认结果为准。</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4、投资周期到期：</w:t>
      </w:r>
      <w:r>
        <w:rPr>
          <w:rFonts w:hint="eastAsia" w:ascii="宋体" w:hAnsi="宋体" w:cs="宋体"/>
          <w:szCs w:val="21"/>
          <w:highlight w:val="none"/>
        </w:rPr>
        <w:t>本产品无需客户赎回，客户持有本产品份额在对应投资周期到期后，兑付资金将在产品周期到期（终止）日后2个工作日内，划转至客户认购（申购）账户。兑付资金=持有份额*产品周期到期（终止）日前一日单位净值。</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5、募集上限：</w:t>
      </w:r>
      <w:r>
        <w:rPr>
          <w:rFonts w:hint="eastAsia" w:ascii="宋体" w:hAnsi="宋体" w:cs="宋体"/>
          <w:szCs w:val="21"/>
          <w:highlight w:val="none"/>
        </w:rPr>
        <w:t>募集（申购开放）期间募集资金累计金额接近预期募集资金规模上限时，泰安银行有权酌情停止接受认购，募集提前结束。</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6、募集（申购开放）期间利息：</w:t>
      </w:r>
      <w:r>
        <w:rPr>
          <w:rFonts w:hint="eastAsia" w:ascii="宋体" w:hAnsi="宋体" w:cs="宋体"/>
          <w:bCs/>
          <w:szCs w:val="21"/>
          <w:highlight w:val="none"/>
        </w:rPr>
        <w:t>认购资金在投资者认购（申购）本期理财产品后即在投资者认购账户中冻结，</w:t>
      </w:r>
      <w:r>
        <w:rPr>
          <w:rFonts w:hint="eastAsia" w:ascii="宋体" w:hAnsi="宋体" w:cs="宋体"/>
          <w:b/>
          <w:szCs w:val="21"/>
          <w:highlight w:val="none"/>
        </w:rPr>
        <w:t>在产品成立（周期确认）日从投资者账户扣除</w:t>
      </w:r>
      <w:r>
        <w:rPr>
          <w:rFonts w:hint="eastAsia" w:ascii="宋体" w:hAnsi="宋体" w:cs="宋体"/>
          <w:bCs/>
          <w:szCs w:val="21"/>
          <w:highlight w:val="none"/>
        </w:rPr>
        <w:t>。认购（申购）受理后至产品成立（周期确认）日期间</w:t>
      </w:r>
      <w:r>
        <w:rPr>
          <w:rFonts w:hint="eastAsia" w:ascii="宋体" w:hAnsi="宋体" w:cs="宋体"/>
          <w:b/>
          <w:szCs w:val="21"/>
          <w:highlight w:val="none"/>
        </w:rPr>
        <w:t>按照活期存款利率在认购账户中计息，不计入投资本金。</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7、扣款确认：</w:t>
      </w:r>
      <w:r>
        <w:rPr>
          <w:rFonts w:hint="eastAsia" w:ascii="宋体" w:hAnsi="宋体" w:cs="宋体"/>
          <w:b/>
          <w:bCs w:val="0"/>
          <w:szCs w:val="21"/>
          <w:highlight w:val="none"/>
        </w:rPr>
        <w:t>投资者指定账户应保持正常状态。</w:t>
      </w:r>
      <w:r>
        <w:rPr>
          <w:rFonts w:hint="eastAsia" w:ascii="宋体" w:hAnsi="宋体" w:cs="宋体"/>
          <w:bCs/>
          <w:szCs w:val="21"/>
          <w:highlight w:val="none"/>
        </w:rPr>
        <w:t>如果客户购买风险等级较高或单笔金额较大的理财产品，客户签署理财合同的行为表明客户自愿同意购买理财产品，</w:t>
      </w:r>
      <w:r>
        <w:rPr>
          <w:rFonts w:hint="eastAsia" w:ascii="宋体" w:hAnsi="宋体" w:cs="宋体"/>
          <w:b/>
          <w:szCs w:val="21"/>
          <w:highlight w:val="none"/>
        </w:rPr>
        <w:t>我行在划款时将不再与客户进行最后确认。</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8、资金解冻：</w:t>
      </w:r>
      <w:r>
        <w:rPr>
          <w:rFonts w:hint="eastAsia" w:ascii="宋体" w:hAnsi="宋体" w:cs="宋体"/>
          <w:szCs w:val="21"/>
          <w:highlight w:val="none"/>
        </w:rPr>
        <w:t>因出现</w:t>
      </w:r>
      <w:r>
        <w:rPr>
          <w:rFonts w:hint="eastAsia" w:ascii="宋体" w:hAnsi="宋体" w:cs="宋体"/>
          <w:b/>
          <w:bCs/>
          <w:szCs w:val="21"/>
          <w:highlight w:val="none"/>
        </w:rPr>
        <w:t>账户资金余额不足、挂失、换卡、长期不动户</w:t>
      </w:r>
      <w:r>
        <w:rPr>
          <w:rFonts w:hint="eastAsia" w:ascii="宋体" w:hAnsi="宋体" w:cs="宋体"/>
          <w:bCs/>
          <w:szCs w:val="21"/>
          <w:highlight w:val="none"/>
        </w:rPr>
        <w:t>等特殊情况或被有权机关采取</w:t>
      </w:r>
      <w:r>
        <w:rPr>
          <w:rFonts w:hint="eastAsia" w:ascii="宋体" w:hAnsi="宋体" w:cs="宋体"/>
          <w:b/>
          <w:bCs w:val="0"/>
          <w:szCs w:val="21"/>
          <w:highlight w:val="none"/>
        </w:rPr>
        <w:t>冻结、扣划、强制措施</w:t>
      </w:r>
      <w:r>
        <w:rPr>
          <w:rFonts w:hint="eastAsia" w:ascii="宋体" w:hAnsi="宋体" w:cs="宋体"/>
          <w:bCs/>
          <w:szCs w:val="21"/>
          <w:highlight w:val="none"/>
        </w:rPr>
        <w:t>等变更或异常情形，导致本期理财产品资金划转不成功的，视为</w:t>
      </w:r>
      <w:r>
        <w:rPr>
          <w:rFonts w:hint="eastAsia" w:ascii="宋体" w:hAnsi="宋体" w:cs="宋体"/>
          <w:b/>
          <w:bCs w:val="0"/>
          <w:szCs w:val="21"/>
          <w:highlight w:val="none"/>
        </w:rPr>
        <w:t>本期理财产品认购（申购）不成功，责任由投资者承担。</w:t>
      </w:r>
      <w:r>
        <w:rPr>
          <w:rFonts w:hint="eastAsia" w:ascii="宋体" w:hAnsi="宋体" w:cs="宋体"/>
          <w:szCs w:val="21"/>
          <w:highlight w:val="none"/>
        </w:rPr>
        <w:t>资金在产品成立日（周期确认）次日的2个工作日内予以解冻。</w:t>
      </w:r>
      <w:r>
        <w:rPr>
          <w:rFonts w:hint="eastAsia" w:ascii="宋体" w:hAnsi="宋体" w:cs="宋体"/>
          <w:b/>
          <w:bCs/>
          <w:szCs w:val="21"/>
          <w:highlight w:val="none"/>
        </w:rPr>
        <w:t>期间按照活期存款利率在指定账户中计息。</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三、投资收益分配及说明</w:t>
      </w:r>
    </w:p>
    <w:p>
      <w:pPr>
        <w:adjustRightInd w:val="0"/>
        <w:snapToGrid w:val="0"/>
        <w:spacing w:line="360" w:lineRule="auto"/>
        <w:ind w:right="105" w:firstLine="411" w:firstLineChars="196"/>
        <w:rPr>
          <w:rFonts w:ascii="宋体" w:hAnsi="宋体" w:cs="宋体"/>
          <w:b/>
          <w:bCs/>
          <w:szCs w:val="21"/>
          <w:highlight w:val="none"/>
        </w:rPr>
      </w:pPr>
      <w:r>
        <w:rPr>
          <w:rFonts w:hint="eastAsia" w:ascii="宋体" w:hAnsi="宋体" w:cs="宋体"/>
          <w:szCs w:val="21"/>
          <w:highlight w:val="none"/>
        </w:rPr>
        <w:t>1、</w:t>
      </w:r>
      <w:r>
        <w:rPr>
          <w:rFonts w:hint="eastAsia" w:ascii="宋体" w:hAnsi="宋体" w:cs="宋体"/>
          <w:b/>
          <w:bCs/>
          <w:szCs w:val="21"/>
          <w:highlight w:val="none"/>
        </w:rPr>
        <w:t>泰安银行将按照本期理财产品说明书的约定，本着尽职勤勉的原则管理和运用投资者的理财资金，投资风险由客户承担，并依据实际投资收益情况确定客户实际收益。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本期理财产品投资者所能获得的最终收益以银行向投资者实际支付的金额为准。</w:t>
      </w:r>
    </w:p>
    <w:p>
      <w:pPr>
        <w:adjustRightInd w:val="0"/>
        <w:snapToGrid w:val="0"/>
        <w:spacing w:line="360" w:lineRule="auto"/>
        <w:ind w:right="105" w:firstLine="411" w:firstLineChars="196"/>
        <w:rPr>
          <w:spacing w:val="-6"/>
          <w:highlight w:val="none"/>
        </w:rPr>
      </w:pPr>
      <w:r>
        <w:rPr>
          <w:rFonts w:hint="eastAsia" w:ascii="宋体" w:hAnsi="宋体" w:cs="宋体"/>
          <w:szCs w:val="21"/>
          <w:highlight w:val="none"/>
        </w:rPr>
        <w:t>2、本期理财产品单位净值及份额的测算：</w:t>
      </w:r>
      <w:r>
        <w:rPr>
          <w:rFonts w:hint="eastAsia" w:ascii="宋体" w:hAnsi="宋体" w:cs="宋体"/>
          <w:b/>
          <w:bCs/>
          <w:szCs w:val="21"/>
          <w:highlight w:val="none"/>
        </w:rPr>
        <w:t>本期理财产品以单位净值报价，单位净值=本理财产品资产总净值÷本理财产品总份额。</w:t>
      </w:r>
      <w:r>
        <w:rPr>
          <w:rFonts w:hint="eastAsia" w:ascii="宋体" w:hAnsi="宋体" w:cs="宋体"/>
          <w:szCs w:val="21"/>
          <w:highlight w:val="none"/>
        </w:rPr>
        <w:t>其中，总净值为扣除包括但不限于销售手续费、托管费、固定管理费、浮动管理费等相关费用后的本理财产品资产市值。本理财产品单位净值根据</w:t>
      </w:r>
      <w:r>
        <w:rPr>
          <w:rFonts w:hint="eastAsia"/>
          <w:spacing w:val="-11"/>
          <w:highlight w:val="none"/>
        </w:rPr>
        <w:t>泰安银行</w:t>
      </w:r>
      <w:r>
        <w:rPr>
          <w:spacing w:val="-6"/>
          <w:highlight w:val="none"/>
        </w:rPr>
        <w:t>实际投资运作的情况变化。</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bCs/>
          <w:szCs w:val="21"/>
          <w:highlight w:val="none"/>
        </w:rPr>
        <w:t>认购（申购）份额=认购（申购）金额/单位净值</w:t>
      </w:r>
      <w:r>
        <w:rPr>
          <w:rFonts w:hint="eastAsia" w:ascii="宋体" w:hAnsi="宋体" w:cs="宋体"/>
          <w:szCs w:val="21"/>
          <w:highlight w:val="none"/>
        </w:rPr>
        <w:t>，认购份额保留至0.01份理财产品份额，小数点后两位以下四舍五入。</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rPr>
        <w:t>3、</w:t>
      </w:r>
      <w:r>
        <w:rPr>
          <w:rFonts w:hint="eastAsia" w:ascii="宋体" w:hAnsi="宋体" w:cs="宋体"/>
          <w:szCs w:val="21"/>
          <w:highlight w:val="none"/>
          <w:lang w:val="zh-CN"/>
        </w:rPr>
        <w:t>投资者理财产品市值及收益的测算：</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本期理财产品为非保本理财产品，</w:t>
      </w:r>
      <w:r>
        <w:rPr>
          <w:rFonts w:hint="eastAsia" w:ascii="宋体" w:hAnsi="宋体" w:cs="宋体"/>
          <w:b/>
          <w:bCs/>
          <w:szCs w:val="21"/>
          <w:highlight w:val="none"/>
          <w:lang w:val="zh-CN"/>
        </w:rPr>
        <w:t>投资者的投资收益是所持理财份额对应的产品市值扣除对应投资本金的余额。投资者的理财产品市值=持有理财产品总份额×单位净值</w:t>
      </w:r>
      <w:r>
        <w:rPr>
          <w:rFonts w:hint="eastAsia" w:ascii="宋体" w:hAnsi="宋体" w:cs="宋体"/>
          <w:szCs w:val="21"/>
          <w:highlight w:val="none"/>
          <w:lang w:val="zh-CN"/>
        </w:rPr>
        <w:t>，持有理财产品总份额以泰安银行理财系统清算登记份额数据为准。</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如投资运作出现盈利（或亏损），对应产品单位净值将上升（或下降），对应产品市值可能大于（或小于）投资本金。最不利的情况下，投资者可能损失全部本金。</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4、计算示例：</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假设：2020年5月16日（工作日）、2020年11月14日（工作日）为该产品起息日和投资周期到期日，此时该产品公布的业绩比较基准年化4.60%，投资期限182天。2020年6月16日为该产品的周期确认日，周期确认日前7天允许申购，此时该产品公布的业绩比较基准年化4.30%，投资期限91天。</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场景一：投资者在2020年5月15日认购该产品5万元，20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年5月16日系统登记的已持有产品份额5万份，20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年5月16日泰安银行公布产品单位净值为1.000000元/份。则截止20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年5月16日，该投资者持有理财的产品市值为50000× 1.000000=50000.00元。在20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年11月14日泰安银行公布产品单位净值为1.0</w:t>
      </w:r>
      <w:r>
        <w:rPr>
          <w:rFonts w:hint="eastAsia" w:ascii="宋体" w:hAnsi="宋体" w:cs="宋体"/>
          <w:szCs w:val="21"/>
          <w:highlight w:val="none"/>
        </w:rPr>
        <w:t>2328</w:t>
      </w:r>
      <w:r>
        <w:rPr>
          <w:rFonts w:hint="eastAsia" w:ascii="宋体" w:hAnsi="宋体" w:cs="宋体"/>
          <w:szCs w:val="21"/>
          <w:highlight w:val="none"/>
          <w:lang w:val="zh-CN"/>
        </w:rPr>
        <w:t>5元/份，则截止20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年11月14日，该投资者持有理财的产品市值为50000×1.0</w:t>
      </w:r>
      <w:r>
        <w:rPr>
          <w:rFonts w:hint="eastAsia" w:ascii="宋体" w:hAnsi="宋体" w:cs="宋体"/>
          <w:szCs w:val="21"/>
          <w:highlight w:val="none"/>
        </w:rPr>
        <w:t>2328</w:t>
      </w:r>
      <w:r>
        <w:rPr>
          <w:rFonts w:hint="eastAsia" w:ascii="宋体" w:hAnsi="宋体" w:cs="宋体"/>
          <w:szCs w:val="21"/>
          <w:highlight w:val="none"/>
          <w:lang w:val="zh-CN"/>
        </w:rPr>
        <w:t>5=</w:t>
      </w:r>
      <w:r>
        <w:rPr>
          <w:rFonts w:hint="eastAsia" w:ascii="宋体" w:hAnsi="宋体" w:cs="宋体"/>
          <w:szCs w:val="21"/>
          <w:highlight w:val="none"/>
        </w:rPr>
        <w:t>51164.25</w:t>
      </w:r>
      <w:r>
        <w:rPr>
          <w:rFonts w:hint="eastAsia" w:ascii="宋体" w:hAnsi="宋体" w:cs="宋体"/>
          <w:szCs w:val="21"/>
          <w:highlight w:val="none"/>
          <w:lang w:val="zh-CN"/>
        </w:rPr>
        <w:t>元。该投资者的账面理财收益是</w:t>
      </w:r>
      <w:r>
        <w:rPr>
          <w:rFonts w:hint="eastAsia" w:ascii="宋体" w:hAnsi="宋体" w:cs="宋体"/>
          <w:szCs w:val="21"/>
          <w:highlight w:val="none"/>
        </w:rPr>
        <w:t>51164.25</w:t>
      </w:r>
      <w:r>
        <w:rPr>
          <w:rFonts w:hint="eastAsia" w:ascii="宋体" w:hAnsi="宋体" w:cs="宋体"/>
          <w:szCs w:val="21"/>
          <w:highlight w:val="none"/>
          <w:lang w:val="zh-CN"/>
        </w:rPr>
        <w:t>-50000.00=</w:t>
      </w:r>
      <w:r>
        <w:rPr>
          <w:rFonts w:hint="eastAsia" w:ascii="宋体" w:hAnsi="宋体" w:cs="宋体"/>
          <w:szCs w:val="21"/>
          <w:highlight w:val="none"/>
        </w:rPr>
        <w:t>1164.25</w:t>
      </w:r>
      <w:r>
        <w:rPr>
          <w:rFonts w:hint="eastAsia" w:ascii="宋体" w:hAnsi="宋体" w:cs="宋体"/>
          <w:szCs w:val="21"/>
          <w:highlight w:val="none"/>
          <w:lang w:val="zh-CN"/>
        </w:rPr>
        <w:t>元（盈利）。</w:t>
      </w:r>
    </w:p>
    <w:p>
      <w:pPr>
        <w:adjustRightInd w:val="0"/>
        <w:snapToGrid w:val="0"/>
        <w:spacing w:line="360" w:lineRule="auto"/>
        <w:ind w:right="105" w:firstLine="420" w:firstLineChars="200"/>
        <w:rPr>
          <w:rFonts w:ascii="宋体" w:hAnsi="宋体" w:cs="宋体"/>
          <w:szCs w:val="21"/>
          <w:highlight w:val="none"/>
          <w:lang w:val="zh-CN"/>
        </w:rPr>
      </w:pPr>
      <w:r>
        <w:rPr>
          <w:rFonts w:hint="eastAsia" w:ascii="宋体" w:hAnsi="宋体" w:cs="宋体"/>
          <w:szCs w:val="21"/>
          <w:highlight w:val="none"/>
          <w:lang w:val="zh-CN"/>
        </w:rPr>
        <w:t>产品到期实际年化收益率=（1.0</w:t>
      </w:r>
      <w:r>
        <w:rPr>
          <w:rFonts w:hint="eastAsia" w:ascii="宋体" w:hAnsi="宋体" w:cs="宋体"/>
          <w:szCs w:val="21"/>
          <w:highlight w:val="none"/>
        </w:rPr>
        <w:t>2328</w:t>
      </w:r>
      <w:r>
        <w:rPr>
          <w:rFonts w:hint="eastAsia" w:ascii="宋体" w:hAnsi="宋体" w:cs="宋体"/>
          <w:szCs w:val="21"/>
          <w:highlight w:val="none"/>
          <w:lang w:val="zh-CN"/>
        </w:rPr>
        <w:t>5-1）*365/</w:t>
      </w:r>
      <w:r>
        <w:rPr>
          <w:rFonts w:hint="eastAsia" w:ascii="宋体" w:hAnsi="宋体" w:cs="宋体"/>
          <w:szCs w:val="21"/>
          <w:highlight w:val="none"/>
        </w:rPr>
        <w:t>182</w:t>
      </w:r>
      <w:r>
        <w:rPr>
          <w:rFonts w:hint="eastAsia" w:ascii="宋体" w:hAnsi="宋体" w:cs="宋体"/>
          <w:szCs w:val="21"/>
          <w:highlight w:val="none"/>
          <w:lang w:val="zh-CN"/>
        </w:rPr>
        <w:t>=</w:t>
      </w:r>
      <w:r>
        <w:rPr>
          <w:rFonts w:hint="eastAsia" w:ascii="宋体" w:hAnsi="宋体" w:cs="宋体"/>
          <w:szCs w:val="21"/>
          <w:highlight w:val="none"/>
        </w:rPr>
        <w:t>4.66</w:t>
      </w:r>
      <w:r>
        <w:rPr>
          <w:rFonts w:hint="eastAsia" w:ascii="宋体" w:hAnsi="宋体" w:cs="宋体"/>
          <w:szCs w:val="21"/>
          <w:highlight w:val="none"/>
          <w:lang w:val="zh-CN"/>
        </w:rPr>
        <w:t>%，实现业绩基准。</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场景二：在20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年11月14日泰安银行公布产品单位净值为0.999000元/份，则截止20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年11月14日，该投资者持有理财的产品市值为50000×0.999000=49950.00元。该投资者的账面理财收益是49950.00-50000.00=-50.00元（亏损）。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场景三：投资者在2020年6月15日认购该产品5万元， 20</w:t>
      </w:r>
      <w:r>
        <w:rPr>
          <w:rFonts w:hint="eastAsia" w:ascii="宋体" w:hAnsi="宋体" w:cs="宋体"/>
          <w:szCs w:val="21"/>
          <w:highlight w:val="none"/>
          <w:lang w:val="en-US" w:eastAsia="zh-CN"/>
        </w:rPr>
        <w:t>20</w:t>
      </w:r>
      <w:r>
        <w:rPr>
          <w:rFonts w:hint="eastAsia" w:ascii="宋体" w:hAnsi="宋体" w:cs="宋体"/>
          <w:szCs w:val="21"/>
          <w:highlight w:val="none"/>
          <w:lang w:val="zh-CN"/>
        </w:rPr>
        <w:t>年6月16日泰安银行公布产品单位净值为1.001472元/份。则该投资者本投资周期认购份额为50000/1.001472=49926.51.在2020年9月15日泰安银行公布产品单位净值为1.012209元/份，则截止2020年9月15日，该投资者持有理财的产品市值为49926.51×1.012209=</w:t>
      </w:r>
      <w:r>
        <w:rPr>
          <w:rFonts w:hint="eastAsia" w:ascii="宋体" w:hAnsi="宋体" w:cs="宋体"/>
          <w:szCs w:val="21"/>
          <w:highlight w:val="none"/>
        </w:rPr>
        <w:t>50536.06</w:t>
      </w:r>
      <w:r>
        <w:rPr>
          <w:rFonts w:hint="eastAsia" w:ascii="宋体" w:hAnsi="宋体" w:cs="宋体"/>
          <w:szCs w:val="21"/>
          <w:highlight w:val="none"/>
          <w:lang w:val="zh-CN"/>
        </w:rPr>
        <w:t>元。该投资者的账面理财收益是</w:t>
      </w:r>
      <w:r>
        <w:rPr>
          <w:rFonts w:hint="eastAsia" w:ascii="宋体" w:hAnsi="宋体" w:cs="宋体"/>
          <w:szCs w:val="21"/>
          <w:highlight w:val="none"/>
        </w:rPr>
        <w:t>50536.06</w:t>
      </w:r>
      <w:r>
        <w:rPr>
          <w:rFonts w:hint="eastAsia" w:ascii="宋体" w:hAnsi="宋体" w:cs="宋体"/>
          <w:szCs w:val="21"/>
          <w:highlight w:val="none"/>
          <w:lang w:val="zh-CN"/>
        </w:rPr>
        <w:t>-50000.00=</w:t>
      </w:r>
      <w:r>
        <w:rPr>
          <w:rFonts w:hint="eastAsia" w:ascii="宋体" w:hAnsi="宋体" w:cs="宋体"/>
          <w:szCs w:val="21"/>
          <w:highlight w:val="none"/>
        </w:rPr>
        <w:t>536.06</w:t>
      </w:r>
      <w:r>
        <w:rPr>
          <w:rFonts w:hint="eastAsia" w:ascii="宋体" w:hAnsi="宋体" w:cs="宋体"/>
          <w:szCs w:val="21"/>
          <w:highlight w:val="none"/>
          <w:lang w:val="zh-CN"/>
        </w:rPr>
        <w:t>元（盈利）。</w:t>
      </w:r>
    </w:p>
    <w:p>
      <w:pPr>
        <w:adjustRightInd w:val="0"/>
        <w:snapToGrid w:val="0"/>
        <w:spacing w:line="360" w:lineRule="auto"/>
        <w:ind w:right="105"/>
        <w:rPr>
          <w:rFonts w:ascii="宋体" w:hAnsi="宋体" w:cs="宋体"/>
          <w:szCs w:val="21"/>
          <w:highlight w:val="none"/>
          <w:lang w:val="zh-CN"/>
        </w:rPr>
      </w:pPr>
      <w:r>
        <w:rPr>
          <w:rFonts w:hint="eastAsia" w:ascii="宋体" w:hAnsi="宋体" w:cs="宋体"/>
          <w:szCs w:val="21"/>
          <w:highlight w:val="none"/>
          <w:lang w:val="zh-CN"/>
        </w:rPr>
        <w:t>投资周期到期实际年化收益率=（1.0</w:t>
      </w:r>
      <w:r>
        <w:rPr>
          <w:rFonts w:hint="eastAsia" w:ascii="宋体" w:hAnsi="宋体" w:cs="宋体"/>
          <w:szCs w:val="21"/>
          <w:highlight w:val="none"/>
        </w:rPr>
        <w:t>12209</w:t>
      </w:r>
      <w:r>
        <w:rPr>
          <w:rFonts w:hint="eastAsia" w:ascii="宋体" w:hAnsi="宋体" w:cs="宋体"/>
          <w:szCs w:val="21"/>
          <w:highlight w:val="none"/>
          <w:lang w:val="zh-CN"/>
        </w:rPr>
        <w:t>-1.001472）*365/</w:t>
      </w:r>
      <w:r>
        <w:rPr>
          <w:rFonts w:hint="eastAsia" w:ascii="宋体" w:hAnsi="宋体" w:cs="宋体"/>
          <w:szCs w:val="21"/>
          <w:highlight w:val="none"/>
        </w:rPr>
        <w:t>91</w:t>
      </w:r>
      <w:r>
        <w:rPr>
          <w:rFonts w:hint="eastAsia" w:ascii="宋体" w:hAnsi="宋体" w:cs="宋体"/>
          <w:szCs w:val="21"/>
          <w:highlight w:val="none"/>
          <w:lang w:val="zh-CN"/>
        </w:rPr>
        <w:t>=</w:t>
      </w:r>
      <w:r>
        <w:rPr>
          <w:rFonts w:hint="eastAsia" w:ascii="宋体" w:hAnsi="宋体" w:cs="宋体"/>
          <w:szCs w:val="21"/>
          <w:highlight w:val="none"/>
        </w:rPr>
        <w:t>4.31</w:t>
      </w:r>
      <w:r>
        <w:rPr>
          <w:rFonts w:hint="eastAsia" w:ascii="宋体" w:hAnsi="宋体" w:cs="宋体"/>
          <w:szCs w:val="21"/>
          <w:highlight w:val="none"/>
          <w:lang w:val="zh-CN"/>
        </w:rPr>
        <w:t>%，实现业绩基准。</w:t>
      </w:r>
    </w:p>
    <w:p>
      <w:pPr>
        <w:adjustRightInd w:val="0"/>
        <w:snapToGrid w:val="0"/>
        <w:spacing w:line="360" w:lineRule="auto"/>
        <w:ind w:right="105"/>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场景四：在2020年9月15日泰安银行公布产品单位净值为1.001283元/份，则截止2020年9月15日，该投资者持有理财的产品市值为49926.51×1.001283=</w:t>
      </w:r>
      <w:r>
        <w:rPr>
          <w:rFonts w:hint="eastAsia" w:ascii="宋体" w:hAnsi="宋体" w:cs="宋体"/>
          <w:szCs w:val="21"/>
          <w:highlight w:val="none"/>
        </w:rPr>
        <w:t>49990.57</w:t>
      </w:r>
      <w:r>
        <w:rPr>
          <w:rFonts w:hint="eastAsia" w:ascii="宋体" w:hAnsi="宋体" w:cs="宋体"/>
          <w:szCs w:val="21"/>
          <w:highlight w:val="none"/>
          <w:lang w:val="zh-CN"/>
        </w:rPr>
        <w:t>元。该投资者的账面理财收益是</w:t>
      </w:r>
      <w:r>
        <w:rPr>
          <w:rFonts w:hint="eastAsia" w:ascii="宋体" w:hAnsi="宋体" w:cs="宋体"/>
          <w:szCs w:val="21"/>
          <w:highlight w:val="none"/>
        </w:rPr>
        <w:t>49990.57</w:t>
      </w:r>
      <w:r>
        <w:rPr>
          <w:rFonts w:hint="eastAsia" w:ascii="宋体" w:hAnsi="宋体" w:cs="宋体"/>
          <w:szCs w:val="21"/>
          <w:highlight w:val="none"/>
          <w:lang w:val="zh-CN"/>
        </w:rPr>
        <w:t>-50000.00=</w:t>
      </w:r>
      <w:r>
        <w:rPr>
          <w:rFonts w:hint="eastAsia" w:ascii="宋体" w:hAnsi="宋体" w:cs="宋体"/>
          <w:szCs w:val="21"/>
          <w:highlight w:val="none"/>
        </w:rPr>
        <w:t>-9.43</w:t>
      </w:r>
      <w:r>
        <w:rPr>
          <w:rFonts w:hint="eastAsia" w:ascii="宋体" w:hAnsi="宋体" w:cs="宋体"/>
          <w:szCs w:val="21"/>
          <w:highlight w:val="none"/>
          <w:lang w:val="zh-CN"/>
        </w:rPr>
        <w:t>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（上述收益测算中所有数据仅为示例假设水平，仅供参考，不代表本期理财产品实际收益水平）</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投资收益分配：</w:t>
      </w:r>
      <w:r>
        <w:rPr>
          <w:rFonts w:hint="eastAsia" w:ascii="宋体" w:hAnsi="宋体" w:cs="宋体"/>
          <w:b/>
          <w:bCs/>
          <w:szCs w:val="21"/>
          <w:highlight w:val="none"/>
        </w:rPr>
        <w:t xml:space="preserve">投资收益采取现金分配方式，在产品投资投资周期或实际到期日后两个工作日内分配。 </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适用的节假日调整惯例：</w:t>
      </w:r>
      <w:r>
        <w:rPr>
          <w:rFonts w:hint="eastAsia" w:ascii="宋体" w:hAnsi="宋体" w:cs="宋体"/>
          <w:b/>
          <w:bCs/>
          <w:szCs w:val="21"/>
          <w:highlight w:val="none"/>
        </w:rPr>
        <w:t>即如遇中国法定节假日，延后至节假日后的第一个工作日</w:t>
      </w:r>
      <w:r>
        <w:rPr>
          <w:rFonts w:hint="eastAsia" w:ascii="宋体" w:hAnsi="宋体" w:cs="宋体"/>
          <w:szCs w:val="21"/>
          <w:highlight w:val="none"/>
        </w:rPr>
        <w:t>。</w:t>
      </w:r>
    </w:p>
    <w:p>
      <w:pPr>
        <w:adjustRightInd w:val="0"/>
        <w:snapToGrid w:val="0"/>
        <w:spacing w:line="360" w:lineRule="auto"/>
        <w:ind w:right="105" w:firstLine="422" w:firstLineChars="200"/>
        <w:rPr>
          <w:rFonts w:ascii="宋体" w:hAnsi="宋体" w:cs="宋体"/>
          <w:b/>
          <w:szCs w:val="21"/>
          <w:highlight w:val="none"/>
        </w:rPr>
      </w:pPr>
      <w:r>
        <w:rPr>
          <w:rFonts w:hint="eastAsia" w:ascii="宋体" w:hAnsi="宋体" w:cs="宋体"/>
          <w:b/>
          <w:szCs w:val="21"/>
          <w:highlight w:val="none"/>
        </w:rPr>
        <w:t>四、理财本金及收益兑付</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w:t>
      </w:r>
      <w:r>
        <w:rPr>
          <w:rFonts w:hint="eastAsia" w:ascii="宋体" w:hAnsi="宋体" w:cs="宋体"/>
          <w:b/>
          <w:bCs/>
          <w:szCs w:val="21"/>
          <w:highlight w:val="none"/>
        </w:rPr>
        <w:t>本期理财产品不保障本金及收益，泰安银行发行本期理财产品不代表对本期产品的任何保本或收益承诺。</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2、如未发生拟投资资产信用违约等事件，理财资金到账日一般为本期理财产品投资周期终止或产品到期日后的2个工作日之内（遇法定节假日顺延）。</w:t>
      </w:r>
      <w:r>
        <w:rPr>
          <w:rFonts w:hint="eastAsia" w:ascii="宋体" w:hAnsi="宋体" w:cs="宋体"/>
          <w:b/>
          <w:bCs/>
          <w:szCs w:val="21"/>
          <w:highlight w:val="none"/>
        </w:rPr>
        <w:t>本期理财产品投资周期终止或产品到期日至投资者资金到账日之间不计利息和投资收益</w:t>
      </w:r>
      <w:r>
        <w:rPr>
          <w:rFonts w:hint="eastAsia" w:ascii="宋体" w:hAnsi="宋体" w:cs="宋体"/>
          <w:szCs w:val="21"/>
          <w:highlight w:val="none"/>
        </w:rPr>
        <w:t>。</w:t>
      </w:r>
    </w:p>
    <w:p>
      <w:pPr>
        <w:adjustRightInd w:val="0"/>
        <w:snapToGrid w:val="0"/>
        <w:spacing w:line="360" w:lineRule="auto"/>
        <w:ind w:right="105" w:firstLine="411" w:firstLineChars="196"/>
        <w:rPr>
          <w:rFonts w:ascii="宋体" w:hAnsi="宋体" w:cs="宋体"/>
          <w:b/>
          <w:bCs/>
          <w:szCs w:val="21"/>
          <w:highlight w:val="none"/>
        </w:rPr>
      </w:pPr>
      <w:r>
        <w:rPr>
          <w:rFonts w:ascii="宋体" w:hAnsi="宋体" w:cs="宋体"/>
          <w:szCs w:val="21"/>
          <w:highlight w:val="none"/>
        </w:rPr>
        <w:t>3、</w:t>
      </w:r>
      <w:r>
        <w:rPr>
          <w:rFonts w:hint="eastAsia" w:ascii="宋体" w:hAnsi="宋体" w:cs="宋体"/>
          <w:b w:val="0"/>
          <w:bCs w:val="0"/>
          <w:szCs w:val="21"/>
          <w:highlight w:val="none"/>
        </w:rPr>
        <w:t>如果泰安银行提前终止本期理财产品，泰安银行将在提前终止日后</w:t>
      </w:r>
      <w:r>
        <w:rPr>
          <w:rFonts w:ascii="宋体" w:hAnsi="宋体" w:cs="宋体"/>
          <w:b w:val="0"/>
          <w:bCs w:val="0"/>
          <w:szCs w:val="21"/>
          <w:highlight w:val="none"/>
        </w:rPr>
        <w:t xml:space="preserve">2个工作日内将投资资金划转至投资者约定账户。 </w:t>
      </w:r>
      <w:r>
        <w:rPr>
          <w:rFonts w:hint="eastAsia" w:ascii="宋体" w:hAnsi="宋体" w:cs="宋体"/>
          <w:b/>
          <w:bCs/>
          <w:szCs w:val="21"/>
          <w:highlight w:val="none"/>
        </w:rPr>
        <w:t>本期理财产品提前终止日至投资者资金到账日之间不计利息和投资收益。</w:t>
      </w:r>
    </w:p>
    <w:p>
      <w:pPr>
        <w:adjustRightInd w:val="0"/>
        <w:snapToGrid w:val="0"/>
        <w:spacing w:line="360" w:lineRule="auto"/>
        <w:ind w:right="105" w:firstLine="411" w:firstLineChars="196"/>
        <w:rPr>
          <w:rFonts w:ascii="宋体" w:hAnsi="宋体" w:cs="宋体"/>
          <w:bCs/>
          <w:szCs w:val="21"/>
          <w:highlight w:val="none"/>
        </w:rPr>
      </w:pPr>
      <w:r>
        <w:rPr>
          <w:rFonts w:hint="eastAsia" w:ascii="宋体" w:hAnsi="宋体" w:cs="宋体"/>
          <w:szCs w:val="21"/>
          <w:highlight w:val="none"/>
        </w:rPr>
        <w:t>4、</w:t>
      </w:r>
      <w:r>
        <w:rPr>
          <w:rFonts w:hint="eastAsia" w:ascii="宋体" w:hAnsi="宋体" w:cs="宋体"/>
          <w:b w:val="0"/>
          <w:bCs/>
          <w:szCs w:val="21"/>
          <w:highlight w:val="none"/>
        </w:rPr>
        <w:t>在本理财产品存续期内，如</w:t>
      </w:r>
      <w:r>
        <w:rPr>
          <w:rFonts w:hint="eastAsia" w:ascii="宋体" w:hAnsi="宋体" w:cs="宋体"/>
          <w:b/>
          <w:szCs w:val="21"/>
          <w:highlight w:val="none"/>
        </w:rPr>
        <w:t>有权机关要求泰安银行配合对客户理财份额、</w:t>
      </w:r>
      <w:r>
        <w:rPr>
          <w:rFonts w:ascii="宋体" w:hAnsi="宋体" w:cs="宋体"/>
          <w:b/>
          <w:szCs w:val="21"/>
          <w:highlight w:val="none"/>
        </w:rPr>
        <w:t xml:space="preserve"> </w:t>
      </w:r>
      <w:r>
        <w:rPr>
          <w:rFonts w:hint="eastAsia" w:ascii="宋体" w:hAnsi="宋体" w:cs="宋体"/>
          <w:b/>
          <w:szCs w:val="21"/>
          <w:highlight w:val="none"/>
        </w:rPr>
        <w:t>理财账户、授权指定账户进行查封、冻结或扣划的</w:t>
      </w:r>
      <w:r>
        <w:rPr>
          <w:rFonts w:hint="eastAsia" w:ascii="宋体" w:hAnsi="宋体" w:cs="宋体"/>
          <w:b w:val="0"/>
          <w:bCs/>
          <w:szCs w:val="21"/>
          <w:highlight w:val="none"/>
        </w:rPr>
        <w:t>，泰安银行有权根据实际情况采取如下措施，</w:t>
      </w:r>
      <w:r>
        <w:rPr>
          <w:rFonts w:ascii="宋体" w:hAnsi="宋体" w:cs="宋体"/>
          <w:b w:val="0"/>
          <w:bCs/>
          <w:szCs w:val="21"/>
          <w:highlight w:val="none"/>
        </w:rPr>
        <w:t xml:space="preserve"> </w:t>
      </w:r>
      <w:r>
        <w:rPr>
          <w:rFonts w:hint="eastAsia" w:ascii="宋体" w:hAnsi="宋体" w:cs="宋体"/>
          <w:b w:val="0"/>
          <w:bCs/>
          <w:szCs w:val="21"/>
          <w:highlight w:val="none"/>
        </w:rPr>
        <w:t>包括但不限于</w:t>
      </w:r>
      <w:r>
        <w:rPr>
          <w:rFonts w:hint="eastAsia" w:ascii="宋体" w:hAnsi="宋体" w:cs="宋体"/>
          <w:b/>
          <w:szCs w:val="21"/>
          <w:highlight w:val="none"/>
        </w:rPr>
        <w:t>全额或部分终止理财交易、停止向投资者支付投资本金及投资收益。</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五、理财产品费用</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1、银行销售手续费：理财计划成立后，泰安银行收取0.</w:t>
      </w:r>
      <w:r>
        <w:rPr>
          <w:rFonts w:hint="eastAsia" w:ascii="宋体" w:hAnsi="宋体" w:cs="宋体"/>
          <w:szCs w:val="21"/>
          <w:highlight w:val="none"/>
          <w:lang w:val="en-US" w:eastAsia="zh-CN"/>
        </w:rPr>
        <w:t>05</w:t>
      </w:r>
      <w:r>
        <w:rPr>
          <w:rFonts w:hint="eastAsia" w:ascii="宋体" w:hAnsi="宋体" w:cs="宋体"/>
          <w:szCs w:val="21"/>
          <w:highlight w:val="none"/>
        </w:rPr>
        <w:t>%/年的手续费，按日计提。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2、托管、估值费：产品托管、估值费按产品募集本金金额的0.01%年费率收取，按日计提。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3、固定管理费：产品固定管理费按产品募集本金金额的0.</w:t>
      </w:r>
      <w:r>
        <w:rPr>
          <w:rFonts w:hint="eastAsia" w:ascii="宋体" w:hAnsi="宋体" w:cs="宋体"/>
          <w:szCs w:val="21"/>
          <w:highlight w:val="none"/>
          <w:lang w:val="en-US" w:eastAsia="zh-CN"/>
        </w:rPr>
        <w:t>05</w:t>
      </w:r>
      <w:r>
        <w:rPr>
          <w:rFonts w:hint="eastAsia" w:ascii="宋体" w:hAnsi="宋体" w:cs="宋体"/>
          <w:szCs w:val="21"/>
          <w:highlight w:val="none"/>
        </w:rPr>
        <w:t>%年费率收取，按日计提。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浮动管理费：本净值型理财产品设立业绩比较基准，泰安银行（管理人）有权收取浮动管理费。产品在扣除托管费等相关税费后，若产品投资组合的收益率高于业绩比较基准，超出部分100%作为银行的浮动管理费。</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六、理财产品估值：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（一）估值对象：本理财产品所持有的所有资产。</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二）估值方法：理财产品所持有资产，符合以下条件之一的，可以摊余成本进行计量：（1）所投金融资产以收取合同现金流量为目的并持有到期；（2）所投金融资产暂不具备活跃交易市场，或者在活跃市场中没有报价、也不能采用估值技术可靠计量公允价值。对于不符合以上条件的资产，具体估值方法如下：</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1、货币市场工具：按成本估值，按日根据相应产品协议约定的收益率计提收益。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银行间市场和证券交易所流通的债券、资产支持证券等有价证券：由管理人和托管人综合考虑市场成交价、市场报价、成本价、收益率曲线等因素确定反映公允价值的价格估值，其中，以交易为目的持有的债券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3、未上市债券按由管理人和托管人综合考虑成本价、收益率曲线等因素确定的反映公允价值的价格估值。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4、其他资产或资产组合：以管理人和托管人共同认可的方法计算其价值,其中,标准化债权项目中,以交易为目的持有的债权按市价法估值。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5、资产实际交易金额与资产估值存在差异的，以资产实际交易金额为准。</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6、在任何情况下，如果采用以上规定的方法对资产进行估值，均应被认为采用了适当的估值方法。但是，如果产品管理人认为按以上规定的方法对理财产品资产进行估值不能客观反映其公允价值的，可变更公允价值的确定方式，并提前3个工作日公告。</w:t>
      </w:r>
    </w:p>
    <w:p>
      <w:pPr>
        <w:adjustRightInd w:val="0"/>
        <w:snapToGrid w:val="0"/>
        <w:spacing w:line="360" w:lineRule="auto"/>
        <w:ind w:right="105"/>
        <w:rPr>
          <w:rFonts w:ascii="宋体" w:hAnsi="宋体" w:cs="宋体"/>
          <w:b/>
          <w:szCs w:val="21"/>
          <w:highlight w:val="none"/>
        </w:rPr>
      </w:pPr>
      <w:r>
        <w:rPr>
          <w:rFonts w:hint="eastAsia" w:ascii="宋体" w:hAnsi="宋体" w:cs="宋体"/>
          <w:b/>
          <w:szCs w:val="21"/>
          <w:highlight w:val="none"/>
        </w:rPr>
        <w:t>七、风险揭示</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本理财产品是低风险投资产品，最差情形为客户的本金和收益全部损失。投资者应充分认识下列风险，谨慎投资。</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1、</w:t>
      </w:r>
      <w:r>
        <w:rPr>
          <w:rFonts w:hint="eastAsia" w:ascii="宋体" w:hAnsi="宋体" w:cs="宋体"/>
          <w:b/>
          <w:szCs w:val="21"/>
          <w:highlight w:val="none"/>
        </w:rPr>
        <w:t>信用风险</w:t>
      </w:r>
      <w:r>
        <w:rPr>
          <w:rFonts w:hint="eastAsia" w:ascii="宋体" w:hAnsi="宋体" w:cs="宋体"/>
          <w:bCs/>
          <w:szCs w:val="21"/>
          <w:highlight w:val="none"/>
        </w:rPr>
        <w:t>：本期理财产品投资于金融债、高信用级别的企业债、短期融资券、中期票据等金融产品。拟投资资产发行人未能履约，投资者面临理财收益损失的风险。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2、</w:t>
      </w:r>
      <w:r>
        <w:rPr>
          <w:rFonts w:hint="eastAsia" w:ascii="宋体" w:hAnsi="宋体" w:cs="宋体"/>
          <w:b/>
          <w:szCs w:val="21"/>
          <w:highlight w:val="none"/>
        </w:rPr>
        <w:t>市场风险</w:t>
      </w:r>
      <w:r>
        <w:rPr>
          <w:rFonts w:hint="eastAsia" w:ascii="宋体" w:hAnsi="宋体" w:cs="宋体"/>
          <w:bCs/>
          <w:szCs w:val="21"/>
          <w:highlight w:val="none"/>
        </w:rPr>
        <w:t>：本期理财产品的业绩比较基准为投资者可以参考获取的投资收益率，若市场利率上升，投资者将丧失获取其他较高收益的投资机会。</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w:t>
      </w:r>
      <w:r>
        <w:rPr>
          <w:rFonts w:hint="eastAsia" w:ascii="宋体" w:hAnsi="宋体" w:cs="宋体"/>
          <w:b/>
          <w:szCs w:val="21"/>
          <w:highlight w:val="none"/>
        </w:rPr>
        <w:t>政策风险</w:t>
      </w:r>
      <w:r>
        <w:rPr>
          <w:rFonts w:hint="eastAsia" w:ascii="宋体" w:hAnsi="宋体" w:cs="宋体"/>
          <w:bCs/>
          <w:szCs w:val="21"/>
          <w:highlight w:val="none"/>
        </w:rPr>
        <w:t>：本期理财产品是针对当前的相关法律、法规和政策设计而成，如遇到国家宏观政策以及市场相关法律法规发生变化，可能影响理财产品的发行、投资和兑付等工作正常进行。</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4、</w:t>
      </w:r>
      <w:r>
        <w:rPr>
          <w:rFonts w:hint="eastAsia" w:ascii="宋体" w:hAnsi="宋体" w:cs="宋体"/>
          <w:b/>
          <w:szCs w:val="21"/>
          <w:highlight w:val="none"/>
        </w:rPr>
        <w:t>流动性风险</w:t>
      </w:r>
      <w:r>
        <w:rPr>
          <w:rFonts w:hint="eastAsia" w:ascii="宋体" w:hAnsi="宋体" w:cs="宋体"/>
          <w:bCs/>
          <w:szCs w:val="21"/>
          <w:highlight w:val="none"/>
        </w:rPr>
        <w:t>：本期理财产品采取到期兑付的期限结构设计，在产品存续期内，投资者不得赎回，可能影响投资者的资金安排，带来流动性风险。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5、</w:t>
      </w:r>
      <w:r>
        <w:rPr>
          <w:rFonts w:hint="eastAsia" w:ascii="宋体" w:hAnsi="宋体" w:cs="宋体"/>
          <w:b/>
          <w:szCs w:val="21"/>
          <w:highlight w:val="none"/>
        </w:rPr>
        <w:t>再投资风险</w:t>
      </w:r>
      <w:r>
        <w:rPr>
          <w:rFonts w:hint="eastAsia" w:ascii="宋体" w:hAnsi="宋体" w:cs="宋体"/>
          <w:bCs/>
          <w:szCs w:val="21"/>
          <w:highlight w:val="none"/>
        </w:rPr>
        <w:t>：在投资期内，若发生本产品说明书“提前终止条款”部分规定的情形，泰安银行有权提前终止本期理财产品，本期理财产品的实际存续期限可能小于预定期限，则投资者将面临无法实现期初预期的全部收益及再投资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6、</w:t>
      </w:r>
      <w:r>
        <w:rPr>
          <w:rFonts w:hint="eastAsia" w:ascii="宋体" w:hAnsi="宋体" w:cs="宋体"/>
          <w:b/>
          <w:szCs w:val="21"/>
          <w:highlight w:val="none"/>
        </w:rPr>
        <w:t>信息传递风险</w:t>
      </w:r>
      <w:r>
        <w:rPr>
          <w:rFonts w:hint="eastAsia" w:ascii="宋体" w:hAnsi="宋体" w:cs="宋体"/>
          <w:bCs/>
          <w:szCs w:val="21"/>
          <w:highlight w:val="none"/>
        </w:rPr>
        <w:t>：本期理财产品存续期内公布单位净值等信息，如果投资者未及时查询，或由于通讯故障、系统故障以及其他不可抗力等因素的影响使得投资者无法及时了解产品信息，以及投资者预留在泰安银行的有效联系方式变更，未及时通知泰安银行使得泰安银行将可能在需要联系投资者时无法及时联系上，并可能会由此影响投资者的投资决策，因此而产生的责任和风险由投资者自行承担。</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7、</w:t>
      </w:r>
      <w:r>
        <w:rPr>
          <w:rFonts w:hint="eastAsia" w:ascii="宋体" w:hAnsi="宋体" w:cs="宋体"/>
          <w:b/>
          <w:szCs w:val="21"/>
          <w:highlight w:val="none"/>
        </w:rPr>
        <w:t>不可抗力和意外事件风险</w:t>
      </w:r>
      <w:r>
        <w:rPr>
          <w:rFonts w:hint="eastAsia" w:ascii="宋体" w:hAnsi="宋体" w:cs="宋体"/>
          <w:bCs/>
          <w:szCs w:val="21"/>
          <w:highlight w:val="none"/>
        </w:rPr>
        <w:t>：指由于自然灾害、战争、金融市场危机、重大政治事件等不可抗力事件或银行系统故障、通讯故障、电力故障、投资市场停止交易等意外事件的出现，可能对本期理财产品的成立、投资运作、资金返还、信息披露、公告通知等造成影响，甚至可能导致本期理财产品收益降低或损失。对不可抗力及意外事件风险导致的任何损失，投资者须自行承担，银行对此不承担任何责任。</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八、信息披露</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泰安银行将及时披露本理财产品项下重大事件。投资者签署本期理财产品说明书的行为，即表明其确认并同意理财计划管理人可以通过下列方式披露信息：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1、泰安银行官方网站（http://www.taccb.com.cn）、手机银行客户端、网上银行等渠道发布公告信息；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2、投资者可致电泰安银行客户服务热线（0538）96588/400 658 6588进行查询；</w:t>
      </w:r>
    </w:p>
    <w:p>
      <w:pPr>
        <w:adjustRightInd w:val="0"/>
        <w:snapToGrid w:val="0"/>
        <w:spacing w:line="360" w:lineRule="auto"/>
        <w:ind w:left="12" w:right="105" w:firstLine="399" w:firstLineChars="190"/>
        <w:rPr>
          <w:rFonts w:ascii="宋体" w:hAnsi="宋体" w:cs="宋体"/>
          <w:b/>
          <w:bCs/>
          <w:szCs w:val="21"/>
          <w:highlight w:val="none"/>
        </w:rPr>
      </w:pPr>
      <w:r>
        <w:rPr>
          <w:rFonts w:hint="eastAsia" w:ascii="宋体" w:hAnsi="宋体" w:cs="宋体"/>
          <w:szCs w:val="21"/>
          <w:highlight w:val="none"/>
        </w:rPr>
        <w:t>3、</w:t>
      </w:r>
      <w:r>
        <w:rPr>
          <w:rFonts w:hint="eastAsia" w:ascii="宋体" w:hAnsi="宋体" w:cs="宋体"/>
          <w:b/>
          <w:bCs/>
          <w:szCs w:val="21"/>
          <w:highlight w:val="none"/>
        </w:rPr>
        <w:t>投资者未及时查询，或由于通讯故障、系统故障以及其他不可抗力等因素的影响使得投资者无法及时了解产品信息，并由此影响投资者的投资决策，因此而产生的责任和风险由投资者自行承担。</w:t>
      </w:r>
    </w:p>
    <w:p>
      <w:pPr>
        <w:adjustRightInd w:val="0"/>
        <w:snapToGrid w:val="0"/>
        <w:spacing w:line="360" w:lineRule="auto"/>
        <w:ind w:right="105" w:firstLine="413" w:firstLineChars="196"/>
        <w:rPr>
          <w:rFonts w:ascii="宋体" w:hAnsi="宋体" w:cs="宋体"/>
          <w:b/>
          <w:szCs w:val="30"/>
          <w:highlight w:val="none"/>
        </w:rPr>
      </w:pPr>
      <w:r>
        <w:rPr>
          <w:rFonts w:hint="eastAsia" w:ascii="宋体" w:hAnsi="宋体" w:cs="宋体"/>
          <w:b/>
          <w:szCs w:val="30"/>
          <w:highlight w:val="none"/>
        </w:rPr>
        <w:t>九、理财产品风险内部风险评级</w:t>
      </w:r>
    </w:p>
    <w:p>
      <w:pPr>
        <w:widowControl/>
        <w:adjustRightInd w:val="0"/>
        <w:snapToGrid w:val="0"/>
        <w:spacing w:line="360" w:lineRule="auto"/>
        <w:ind w:firstLine="411" w:firstLineChars="196"/>
        <w:rPr>
          <w:rFonts w:ascii="宋体" w:hAnsi="宋体" w:cs="宋体"/>
          <w:szCs w:val="30"/>
          <w:highlight w:val="none"/>
        </w:rPr>
      </w:pPr>
      <w:r>
        <w:rPr>
          <w:rFonts w:hint="eastAsia" w:ascii="宋体" w:hAnsi="宋体" w:cs="宋体"/>
          <w:szCs w:val="30"/>
          <w:highlight w:val="none"/>
        </w:rPr>
        <w:t>1、本期理财产品为非保本理财产品，内部风险评级为二级，属于低风险产品。适合购买的客户类型为稳健型、平衡型、成长型、进取型。</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2、本风险评级为我行内部评级结果，评级结果的含义请参见以下说明。</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3、该评级仅供参考，不具备法律效力。</w:t>
      </w:r>
    </w:p>
    <w:tbl>
      <w:tblPr>
        <w:tblStyle w:val="13"/>
        <w:tblW w:w="9550" w:type="dxa"/>
        <w:jc w:val="center"/>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1058"/>
        <w:gridCol w:w="1440"/>
        <w:gridCol w:w="4952"/>
        <w:gridCol w:w="21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95" w:hRule="atLeast"/>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理财产品风险级别</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风险程度定义</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评级说明</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相应客户类别</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一级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极低风险产品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val="en-US" w:eastAsia="zh-CN"/>
              </w:rPr>
            </w:pPr>
            <w:r>
              <w:rPr>
                <w:rFonts w:hint="eastAsia" w:ascii="宋体" w:hAnsi="宋体" w:cs="宋体"/>
                <w:szCs w:val="30"/>
                <w:highlight w:val="none"/>
                <w:lang w:val="en-US" w:eastAsia="zh-CN"/>
              </w:rPr>
              <w:t>总体风险程度低，收益波动小，产品本金安全性高，收益不能实现的可能性小。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保守型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极低风险承受度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二级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总体风险程度较低，收益波动较小，虽然存在一些可能对产品本金和收益安全产生不利影响的因素，但产品本金出现损失的可能性较小。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稳健型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三级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中等风险产品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总体风险程度适中，收益存在一定的波动，产品本金出现损失的可能性不容忽视。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平衡型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中等风险承受度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四级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较高风险产品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highlight w:val="none"/>
                <w:lang w:eastAsia="zh-CN"/>
              </w:rPr>
              <w:t>总体风险程度较高，收益波动较明显，产品本金出现损失的可能性高。</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成长型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较高风险承受度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五级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highlight w:val="none"/>
                <w:lang w:eastAsia="zh-CN"/>
              </w:rPr>
              <w:t>总体风险程度较高，收益波动明显，产品本金出现损失的可能性高，产品本金出现全部损失的可能性不容忽视。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进取型</w:t>
            </w:r>
          </w:p>
          <w:p>
            <w:pPr>
              <w:widowControl/>
              <w:snapToGrid w:val="0"/>
              <w:spacing w:line="360" w:lineRule="auto"/>
              <w:ind w:firstLine="205" w:firstLineChars="98"/>
              <w:jc w:val="center"/>
              <w:rPr>
                <w:rFonts w:ascii="宋体" w:hAnsi="宋体" w:cs="宋体"/>
                <w:szCs w:val="30"/>
                <w:highlight w:val="none"/>
              </w:rPr>
            </w:pPr>
            <w:r>
              <w:rPr>
                <w:rFonts w:hint="eastAsia" w:ascii="宋体" w:hAnsi="宋体" w:cs="宋体"/>
                <w:highlight w:val="none"/>
              </w:rPr>
              <w:t>高风险承受度</w:t>
            </w:r>
          </w:p>
        </w:tc>
      </w:tr>
    </w:tbl>
    <w:p>
      <w:pPr>
        <w:adjustRightInd w:val="0"/>
        <w:snapToGrid w:val="0"/>
        <w:spacing w:line="360" w:lineRule="auto"/>
        <w:ind w:right="105" w:firstLine="411" w:firstLineChars="196"/>
        <w:rPr>
          <w:rFonts w:ascii="宋体" w:hAnsi="宋体" w:cs="宋体"/>
          <w:b w:val="0"/>
          <w:bCs/>
          <w:szCs w:val="21"/>
          <w:highlight w:val="none"/>
        </w:rPr>
      </w:pPr>
      <w:r>
        <w:rPr>
          <w:rFonts w:hint="eastAsia" w:ascii="宋体" w:hAnsi="宋体" w:cs="宋体"/>
          <w:b w:val="0"/>
          <w:bCs/>
          <w:szCs w:val="21"/>
          <w:highlight w:val="none"/>
        </w:rPr>
        <w:t>十、重要须知</w:t>
      </w:r>
    </w:p>
    <w:p>
      <w:pPr>
        <w:adjustRightInd w:val="0"/>
        <w:snapToGrid w:val="0"/>
        <w:spacing w:line="360" w:lineRule="auto"/>
        <w:ind w:left="412" w:right="105"/>
        <w:rPr>
          <w:rFonts w:ascii="宋体" w:hAnsi="宋体" w:cs="宋体"/>
          <w:bCs/>
          <w:szCs w:val="21"/>
          <w:highlight w:val="none"/>
        </w:rPr>
      </w:pPr>
      <w:r>
        <w:rPr>
          <w:rFonts w:ascii="宋体" w:hAnsi="宋体" w:cs="宋体"/>
          <w:bCs/>
          <w:szCs w:val="21"/>
          <w:highlight w:val="none"/>
        </w:rPr>
        <w:t>1、本说明书为《泰安银行人民币理财产品协议书》不可分割的组成部分。</w:t>
      </w:r>
    </w:p>
    <w:p>
      <w:pPr>
        <w:adjustRightInd w:val="0"/>
        <w:snapToGrid w:val="0"/>
        <w:spacing w:line="360" w:lineRule="auto"/>
        <w:ind w:right="108" w:firstLine="422" w:firstLineChars="200"/>
        <w:rPr>
          <w:rFonts w:ascii="宋体" w:hAnsi="宋体" w:cs="宋体"/>
          <w:b/>
          <w:szCs w:val="21"/>
          <w:highlight w:val="none"/>
        </w:rPr>
      </w:pPr>
      <w:r>
        <w:rPr>
          <w:rFonts w:ascii="宋体" w:hAnsi="宋体" w:cs="宋体"/>
          <w:b/>
          <w:szCs w:val="21"/>
          <w:highlight w:val="none"/>
        </w:rPr>
        <w:t>2、本产品业绩比较基准仅供客户参考，</w:t>
      </w:r>
      <w:r>
        <w:rPr>
          <w:rFonts w:hint="eastAsia" w:ascii="宋体" w:hAnsi="宋体" w:cs="宋体"/>
          <w:b/>
          <w:szCs w:val="21"/>
          <w:highlight w:val="none"/>
          <w:lang w:eastAsia="zh-CN"/>
        </w:rPr>
        <w:t>不是预期收益率，不代表产品的未来表现和实际收益，不构成对产品的收益的承诺。</w:t>
      </w:r>
      <w:r>
        <w:rPr>
          <w:rFonts w:hint="eastAsia" w:ascii="宋体" w:hAnsi="宋体" w:cs="宋体"/>
          <w:b/>
          <w:szCs w:val="21"/>
          <w:highlight w:val="none"/>
        </w:rPr>
        <w:t>客户所能获得的最终收益以泰安银行的实际支付为准。</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3、理财产品过往业绩不代表其未来表现，不等于理财产品实际收益，投资需谨慎。</w:t>
      </w:r>
    </w:p>
    <w:p>
      <w:pPr>
        <w:adjustRightInd w:val="0"/>
        <w:snapToGrid w:val="0"/>
        <w:spacing w:line="360" w:lineRule="auto"/>
        <w:ind w:right="108" w:firstLine="420" w:firstLineChars="200"/>
        <w:jc w:val="left"/>
        <w:rPr>
          <w:bCs/>
          <w:highlight w:val="none"/>
        </w:rPr>
      </w:pPr>
      <w:r>
        <w:rPr>
          <w:rFonts w:ascii="宋体" w:hAnsi="宋体" w:cs="宋体"/>
          <w:bCs/>
          <w:szCs w:val="21"/>
          <w:highlight w:val="none"/>
        </w:rPr>
        <w:t>4、本理财产品存续期内定期公布单位净值，产品到期后5个工作日内在泰安银行网站（网址：</w:t>
      </w:r>
      <w:r>
        <w:rPr>
          <w:bCs/>
          <w:highlight w:val="none"/>
        </w:rPr>
        <w:fldChar w:fldCharType="begin"/>
      </w:r>
      <w:r>
        <w:rPr>
          <w:bCs/>
          <w:highlight w:val="none"/>
        </w:rPr>
        <w:instrText xml:space="preserve">HYPERLINK "</w:instrText>
      </w:r>
      <w:r>
        <w:rPr>
          <w:rFonts w:hint="eastAsia"/>
          <w:bCs/>
          <w:highlight w:val="none"/>
        </w:rPr>
        <w:instrText xml:space="preserve">http://www.qlbchina.com）或以书面形式发布产品清算信息。敬请关注齐鲁银行与本产品有关的信息公告，以免造成不必要的损失。/</w:instrText>
      </w:r>
      <w:r>
        <w:rPr>
          <w:bCs/>
          <w:highlight w:val="none"/>
        </w:rPr>
        <w:instrText xml:space="preserve">"</w:instrText>
      </w:r>
      <w:r>
        <w:rPr>
          <w:bCs/>
          <w:highlight w:val="none"/>
        </w:rPr>
        <w:fldChar w:fldCharType="separate"/>
      </w:r>
      <w:r>
        <w:rPr>
          <w:rFonts w:ascii="宋体" w:hAnsi="宋体" w:cs="宋体"/>
          <w:bCs/>
          <w:szCs w:val="21"/>
          <w:highlight w:val="none"/>
        </w:rPr>
        <w:t>http://www.taccb.com.cn）或以书面形式发布产品到期信息。敬请关注泰安银行与本产品有关的信息公告，以免造成不必要的损失。</w:t>
      </w:r>
      <w:r>
        <w:rPr>
          <w:bCs/>
          <w:highlight w:val="none"/>
        </w:rPr>
        <w:fldChar w:fldCharType="end"/>
      </w:r>
    </w:p>
    <w:p>
      <w:pPr>
        <w:adjustRightInd w:val="0"/>
        <w:snapToGrid w:val="0"/>
        <w:spacing w:line="360" w:lineRule="auto"/>
        <w:ind w:right="108" w:firstLine="420" w:firstLineChars="200"/>
        <w:jc w:val="left"/>
        <w:rPr>
          <w:bCs/>
          <w:highlight w:val="none"/>
        </w:rPr>
      </w:pPr>
      <w:r>
        <w:rPr>
          <w:rFonts w:hint="eastAsia"/>
          <w:bCs/>
          <w:highlight w:val="none"/>
        </w:rPr>
        <w:t>5、在理财产品投资过程中发生任何争议，泰安银行有权以管理人的名义代表理财产品进行维权，行使包括但不限于提起诉讼/仲裁、申请保全/执行等权利，由此产生的费用由理财产品承担。</w:t>
      </w:r>
    </w:p>
    <w:p>
      <w:pPr>
        <w:adjustRightInd w:val="0"/>
        <w:snapToGrid w:val="0"/>
        <w:spacing w:line="360" w:lineRule="auto"/>
        <w:ind w:right="108" w:firstLine="420" w:firstLineChars="200"/>
        <w:jc w:val="left"/>
        <w:rPr>
          <w:bCs/>
          <w:highlight w:val="none"/>
        </w:rPr>
      </w:pPr>
      <w:r>
        <w:rPr>
          <w:rFonts w:hint="eastAsia"/>
          <w:bCs/>
          <w:highlight w:val="none"/>
        </w:rPr>
        <w:t>泰安银行作为理财产品管理人，将积极维护投资者合法权益，保护投资者享有的合法权利，全权负责理财产品资金的运用和理财产品资产的管理，并以管理人名义进行相关协议签署，有权参加与理财产品所投资资产相关的所有会议，并对相关事项进行表决；并有权代表投资者利益，按照法律法规和监管部门相关规定对理财产品投资产生的风险资产进行多种方式的处置，包括但不限于转让、重组、债转股、资产证券化、委外催收、抵债资产收取与处置、破产重整等。</w:t>
      </w:r>
    </w:p>
    <w:p>
      <w:pPr>
        <w:adjustRightInd w:val="0"/>
        <w:snapToGrid w:val="0"/>
        <w:spacing w:line="360" w:lineRule="auto"/>
        <w:ind w:right="105" w:firstLine="422" w:firstLineChars="200"/>
        <w:rPr>
          <w:rFonts w:ascii="宋体" w:hAnsi="宋体" w:cs="宋体"/>
          <w:b/>
          <w:szCs w:val="21"/>
          <w:highlight w:val="none"/>
        </w:rPr>
      </w:pPr>
      <w:r>
        <w:rPr>
          <w:rFonts w:ascii="宋体" w:hAnsi="宋体" w:cs="宋体"/>
          <w:b/>
          <w:szCs w:val="21"/>
          <w:highlight w:val="none"/>
        </w:rPr>
        <w:t>6、泰安银行对投资者信息保密。投资者同意泰安银行按照法律法规和监管要求向中国银保监会、人民法院等有权机关报送其个人信息，包括但不限于个人基本信息、投资理财的交易及持有等信息。投资者签署本理财协议即表示在此授权</w:t>
      </w:r>
      <w:r>
        <w:rPr>
          <w:rFonts w:hint="eastAsia" w:ascii="宋体" w:hAnsi="宋体" w:cs="宋体"/>
          <w:b/>
          <w:szCs w:val="21"/>
          <w:highlight w:val="none"/>
        </w:rPr>
        <w:t>泰安</w:t>
      </w:r>
      <w:r>
        <w:rPr>
          <w:rFonts w:ascii="宋体" w:hAnsi="宋体" w:cs="宋体"/>
          <w:b/>
          <w:szCs w:val="21"/>
          <w:highlight w:val="none"/>
        </w:rPr>
        <w:t>银行按照</w:t>
      </w:r>
      <w:r>
        <w:rPr>
          <w:rFonts w:hint="eastAsia" w:ascii="宋体" w:hAnsi="宋体" w:cs="宋体"/>
          <w:b/>
          <w:szCs w:val="21"/>
          <w:highlight w:val="none"/>
        </w:rPr>
        <w:t>法律法规和</w:t>
      </w:r>
      <w:r>
        <w:rPr>
          <w:rFonts w:ascii="宋体" w:hAnsi="宋体" w:cs="宋体"/>
          <w:b/>
          <w:szCs w:val="21"/>
          <w:highlight w:val="none"/>
        </w:rPr>
        <w:t>监管要求予以报送，无需另行通知</w:t>
      </w:r>
      <w:r>
        <w:rPr>
          <w:rFonts w:hint="eastAsia" w:ascii="宋体" w:hAnsi="宋体" w:cs="宋体"/>
          <w:b/>
          <w:szCs w:val="21"/>
          <w:highlight w:val="none"/>
        </w:rPr>
        <w:t>。</w:t>
      </w:r>
    </w:p>
    <w:p>
      <w:pPr>
        <w:adjustRightInd w:val="0"/>
        <w:snapToGrid w:val="0"/>
        <w:spacing w:line="360" w:lineRule="auto"/>
        <w:ind w:right="105" w:firstLine="420" w:firstLineChars="200"/>
        <w:rPr>
          <w:rFonts w:ascii="宋体" w:hAnsi="宋体" w:cs="宋体"/>
          <w:bCs/>
          <w:szCs w:val="21"/>
          <w:highlight w:val="none"/>
        </w:rPr>
      </w:pPr>
      <w:r>
        <w:rPr>
          <w:rFonts w:ascii="宋体" w:hAnsi="宋体" w:cs="宋体"/>
          <w:bCs/>
          <w:szCs w:val="21"/>
          <w:highlight w:val="none"/>
        </w:rPr>
        <w:t>7、在本理财产品存续期内，如因国家法律法规、监管政策发生变化，或出于维护本产品正常运维的需要，在不损害客户利益的前提下，</w:t>
      </w:r>
      <w:r>
        <w:rPr>
          <w:rFonts w:hint="eastAsia" w:ascii="宋体" w:hAnsi="宋体" w:cs="宋体"/>
          <w:b/>
          <w:szCs w:val="21"/>
          <w:highlight w:val="none"/>
        </w:rPr>
        <w:t>泰安银行有权对本理财产品说明书进行相关修订。</w:t>
      </w:r>
      <w:r>
        <w:rPr>
          <w:rFonts w:hint="eastAsia" w:ascii="宋体" w:hAnsi="宋体" w:cs="宋体"/>
          <w:bCs/>
          <w:szCs w:val="21"/>
          <w:highlight w:val="none"/>
        </w:rPr>
        <w:t>如遇上述情况，泰安银行将在提前</w:t>
      </w:r>
      <w:r>
        <w:rPr>
          <w:rFonts w:ascii="宋体" w:hAnsi="宋体" w:cs="宋体"/>
          <w:bCs/>
          <w:szCs w:val="21"/>
          <w:highlight w:val="none"/>
        </w:rPr>
        <w:t>3个工作日在官方网站（http://www.taccb.com.cn）上进行公告，投资者请登录前述网站浏览和阅读相关信息。</w:t>
      </w:r>
    </w:p>
    <w:p>
      <w:pPr>
        <w:snapToGrid w:val="0"/>
        <w:spacing w:line="360" w:lineRule="auto"/>
        <w:ind w:firstLine="422" w:firstLineChars="200"/>
        <w:rPr>
          <w:rFonts w:ascii="宋体" w:hAnsi="宋体" w:cs="宋体"/>
          <w:b/>
          <w:szCs w:val="21"/>
          <w:highlight w:val="none"/>
        </w:rPr>
      </w:pPr>
      <w:r>
        <w:rPr>
          <w:rFonts w:hint="eastAsia" w:ascii="宋体" w:hAnsi="宋体" w:cs="宋体"/>
          <w:b/>
          <w:szCs w:val="21"/>
          <w:highlight w:val="none"/>
        </w:rPr>
        <w:t>十一、募集期/投资周期业绩比较基准查询表</w:t>
      </w:r>
    </w:p>
    <w:tbl>
      <w:tblPr>
        <w:tblStyle w:val="13"/>
        <w:tblW w:w="851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0"/>
        <w:gridCol w:w="2441"/>
        <w:gridCol w:w="1650"/>
        <w:gridCol w:w="964"/>
        <w:gridCol w:w="1452"/>
        <w:gridCol w:w="14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8" w:hRule="atLeast"/>
        </w:trPr>
        <w:tc>
          <w:tcPr>
            <w:tcW w:w="560" w:type="dxa"/>
            <w:vAlign w:val="center"/>
          </w:tcPr>
          <w:p>
            <w:pPr>
              <w:snapToGrid w:val="0"/>
              <w:spacing w:line="360" w:lineRule="auto"/>
              <w:jc w:val="center"/>
              <w:rPr>
                <w:rFonts w:ascii="宋体" w:hAnsi="宋体" w:cs="宋体"/>
                <w:b/>
                <w:szCs w:val="21"/>
              </w:rPr>
            </w:pPr>
            <w:r>
              <w:rPr>
                <w:rFonts w:hint="eastAsia" w:ascii="宋体" w:hAnsi="宋体" w:cs="宋体"/>
                <w:b/>
                <w:szCs w:val="21"/>
              </w:rPr>
              <w:t>序号</w:t>
            </w:r>
          </w:p>
        </w:tc>
        <w:tc>
          <w:tcPr>
            <w:tcW w:w="2441" w:type="dxa"/>
            <w:vAlign w:val="center"/>
          </w:tcPr>
          <w:p>
            <w:pPr>
              <w:snapToGrid w:val="0"/>
              <w:spacing w:line="360" w:lineRule="auto"/>
              <w:jc w:val="center"/>
              <w:rPr>
                <w:rFonts w:ascii="宋体" w:hAnsi="宋体" w:cs="宋体"/>
                <w:b/>
                <w:szCs w:val="21"/>
              </w:rPr>
            </w:pPr>
            <w:r>
              <w:rPr>
                <w:rFonts w:hint="eastAsia" w:ascii="宋体" w:hAnsi="宋体" w:cs="宋体"/>
                <w:b/>
                <w:szCs w:val="21"/>
              </w:rPr>
              <w:t>募集期</w:t>
            </w:r>
          </w:p>
          <w:p>
            <w:pPr>
              <w:snapToGrid w:val="0"/>
              <w:spacing w:line="360" w:lineRule="auto"/>
              <w:jc w:val="center"/>
              <w:rPr>
                <w:rFonts w:ascii="宋体" w:hAnsi="宋体" w:cs="宋体"/>
                <w:b/>
                <w:szCs w:val="21"/>
              </w:rPr>
            </w:pPr>
            <w:r>
              <w:rPr>
                <w:rFonts w:hint="eastAsia" w:ascii="宋体" w:hAnsi="宋体" w:cs="宋体"/>
                <w:b/>
                <w:szCs w:val="21"/>
              </w:rPr>
              <w:t>（申购开放期）</w:t>
            </w:r>
          </w:p>
        </w:tc>
        <w:tc>
          <w:tcPr>
            <w:tcW w:w="1650" w:type="dxa"/>
            <w:vAlign w:val="center"/>
          </w:tcPr>
          <w:p>
            <w:pPr>
              <w:snapToGrid w:val="0"/>
              <w:spacing w:line="360" w:lineRule="auto"/>
              <w:jc w:val="center"/>
              <w:rPr>
                <w:rFonts w:ascii="宋体" w:hAnsi="宋体" w:cs="宋体"/>
                <w:b/>
                <w:szCs w:val="21"/>
              </w:rPr>
            </w:pPr>
            <w:r>
              <w:rPr>
                <w:rFonts w:hint="eastAsia" w:ascii="宋体" w:hAnsi="宋体" w:cs="宋体"/>
                <w:b/>
                <w:szCs w:val="21"/>
              </w:rPr>
              <w:t>成立日</w:t>
            </w:r>
          </w:p>
          <w:p>
            <w:pPr>
              <w:snapToGrid w:val="0"/>
              <w:spacing w:line="360" w:lineRule="auto"/>
              <w:jc w:val="center"/>
              <w:rPr>
                <w:rFonts w:ascii="宋体" w:hAnsi="宋体" w:cs="宋体"/>
                <w:b/>
                <w:szCs w:val="21"/>
              </w:rPr>
            </w:pPr>
            <w:r>
              <w:rPr>
                <w:rFonts w:hint="eastAsia" w:ascii="宋体" w:hAnsi="宋体" w:cs="宋体"/>
                <w:b/>
                <w:szCs w:val="21"/>
              </w:rPr>
              <w:t>（周期确认日）</w:t>
            </w:r>
          </w:p>
        </w:tc>
        <w:tc>
          <w:tcPr>
            <w:tcW w:w="964" w:type="dxa"/>
            <w:vAlign w:val="center"/>
          </w:tcPr>
          <w:p>
            <w:pPr>
              <w:snapToGrid w:val="0"/>
              <w:spacing w:line="360" w:lineRule="auto"/>
              <w:jc w:val="center"/>
              <w:rPr>
                <w:rFonts w:ascii="宋体" w:hAnsi="宋体" w:cs="宋体"/>
                <w:b/>
                <w:szCs w:val="21"/>
              </w:rPr>
            </w:pPr>
            <w:r>
              <w:rPr>
                <w:rFonts w:hint="eastAsia" w:ascii="宋体" w:hAnsi="宋体" w:cs="宋体"/>
                <w:b/>
                <w:szCs w:val="21"/>
              </w:rPr>
              <w:t>投资周期天数</w:t>
            </w:r>
          </w:p>
        </w:tc>
        <w:tc>
          <w:tcPr>
            <w:tcW w:w="1452" w:type="dxa"/>
            <w:vAlign w:val="center"/>
          </w:tcPr>
          <w:p>
            <w:pPr>
              <w:snapToGrid w:val="0"/>
              <w:spacing w:line="360" w:lineRule="auto"/>
              <w:jc w:val="center"/>
              <w:rPr>
                <w:rFonts w:hint="eastAsia" w:ascii="宋体" w:hAnsi="宋体" w:cs="宋体"/>
                <w:b/>
                <w:szCs w:val="21"/>
                <w:lang w:eastAsia="zh-CN"/>
              </w:rPr>
            </w:pPr>
            <w:r>
              <w:rPr>
                <w:rFonts w:hint="eastAsia" w:ascii="宋体" w:hAnsi="宋体" w:cs="宋体"/>
                <w:b/>
                <w:szCs w:val="21"/>
                <w:lang w:eastAsia="zh-CN"/>
              </w:rPr>
              <w:t>投资周期</w:t>
            </w:r>
          </w:p>
          <w:p>
            <w:pPr>
              <w:snapToGrid w:val="0"/>
              <w:spacing w:line="360" w:lineRule="auto"/>
              <w:jc w:val="center"/>
              <w:rPr>
                <w:rFonts w:hint="eastAsia" w:ascii="宋体" w:hAnsi="宋体" w:eastAsia="宋体" w:cs="宋体"/>
                <w:b/>
                <w:szCs w:val="21"/>
                <w:lang w:eastAsia="zh-CN"/>
              </w:rPr>
            </w:pPr>
            <w:r>
              <w:rPr>
                <w:rFonts w:hint="eastAsia" w:ascii="宋体" w:hAnsi="宋体" w:cs="宋体"/>
                <w:b/>
                <w:szCs w:val="21"/>
                <w:lang w:eastAsia="zh-CN"/>
              </w:rPr>
              <w:t>终止日</w:t>
            </w:r>
          </w:p>
        </w:tc>
        <w:tc>
          <w:tcPr>
            <w:tcW w:w="1452" w:type="dxa"/>
            <w:vAlign w:val="center"/>
          </w:tcPr>
          <w:p>
            <w:pPr>
              <w:snapToGrid w:val="0"/>
              <w:spacing w:line="360" w:lineRule="auto"/>
              <w:jc w:val="center"/>
              <w:rPr>
                <w:rFonts w:ascii="宋体" w:hAnsi="宋体" w:cs="宋体"/>
                <w:b/>
                <w:szCs w:val="21"/>
              </w:rPr>
            </w:pPr>
            <w:r>
              <w:rPr>
                <w:rFonts w:hint="eastAsia" w:ascii="宋体" w:hAnsi="宋体" w:cs="宋体"/>
                <w:b/>
                <w:szCs w:val="21"/>
              </w:rPr>
              <w:t>业绩比较基准（年化）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ascii="宋体" w:hAnsi="宋体" w:cs="宋体"/>
                <w:szCs w:val="21"/>
              </w:rPr>
            </w:pPr>
            <w:r>
              <w:rPr>
                <w:rFonts w:hint="eastAsia" w:ascii="宋体" w:hAnsi="宋体" w:cs="宋体"/>
                <w:szCs w:val="21"/>
              </w:rPr>
              <w:t>1</w:t>
            </w:r>
          </w:p>
        </w:tc>
        <w:tc>
          <w:tcPr>
            <w:tcW w:w="2441"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rPr>
              <w:t>202</w:t>
            </w:r>
            <w:r>
              <w:rPr>
                <w:rFonts w:hint="eastAsia" w:ascii="宋体" w:hAnsi="宋体" w:cs="宋体"/>
                <w:szCs w:val="21"/>
                <w:lang w:val="en-US" w:eastAsia="zh-CN"/>
              </w:rPr>
              <w:t>3</w:t>
            </w:r>
            <w:r>
              <w:rPr>
                <w:rFonts w:hint="eastAsia" w:ascii="宋体" w:hAnsi="宋体" w:cs="宋体"/>
                <w:szCs w:val="21"/>
              </w:rPr>
              <w:t>.</w:t>
            </w:r>
            <w:r>
              <w:rPr>
                <w:rFonts w:hint="eastAsia" w:ascii="宋体" w:hAnsi="宋体" w:cs="宋体"/>
                <w:szCs w:val="21"/>
                <w:lang w:val="en-US" w:eastAsia="zh-CN"/>
              </w:rPr>
              <w:t>7</w:t>
            </w:r>
            <w:r>
              <w:rPr>
                <w:rFonts w:hint="eastAsia" w:ascii="宋体" w:hAnsi="宋体" w:cs="宋体"/>
                <w:szCs w:val="21"/>
              </w:rPr>
              <w:t>.</w:t>
            </w:r>
            <w:r>
              <w:rPr>
                <w:rFonts w:hint="eastAsia" w:ascii="宋体" w:hAnsi="宋体" w:cs="宋体"/>
                <w:szCs w:val="21"/>
                <w:lang w:val="en-US" w:eastAsia="zh-CN"/>
              </w:rPr>
              <w:t>12</w:t>
            </w:r>
            <w:r>
              <w:rPr>
                <w:rFonts w:hint="eastAsia" w:ascii="宋体" w:hAnsi="宋体" w:cs="宋体"/>
                <w:szCs w:val="21"/>
              </w:rPr>
              <w:t>-202</w:t>
            </w:r>
            <w:r>
              <w:rPr>
                <w:rFonts w:hint="eastAsia" w:ascii="宋体" w:hAnsi="宋体" w:cs="宋体"/>
                <w:szCs w:val="21"/>
                <w:lang w:val="en-US" w:eastAsia="zh-CN"/>
              </w:rPr>
              <w:t>3</w:t>
            </w:r>
            <w:r>
              <w:rPr>
                <w:rFonts w:hint="eastAsia" w:ascii="宋体" w:hAnsi="宋体" w:cs="宋体"/>
                <w:szCs w:val="21"/>
              </w:rPr>
              <w:t>.</w:t>
            </w:r>
            <w:r>
              <w:rPr>
                <w:rFonts w:hint="eastAsia" w:ascii="宋体" w:hAnsi="宋体" w:cs="宋体"/>
                <w:szCs w:val="21"/>
                <w:lang w:val="en-US" w:eastAsia="zh-CN"/>
              </w:rPr>
              <w:t>7</w:t>
            </w:r>
            <w:r>
              <w:rPr>
                <w:rFonts w:hint="eastAsia" w:ascii="宋体" w:hAnsi="宋体" w:cs="宋体"/>
                <w:szCs w:val="21"/>
              </w:rPr>
              <w:t>.</w:t>
            </w:r>
            <w:r>
              <w:rPr>
                <w:rFonts w:hint="eastAsia" w:ascii="宋体" w:hAnsi="宋体" w:cs="宋体"/>
                <w:szCs w:val="21"/>
                <w:lang w:val="en-US" w:eastAsia="zh-CN"/>
              </w:rPr>
              <w:t>17</w:t>
            </w:r>
          </w:p>
        </w:tc>
        <w:tc>
          <w:tcPr>
            <w:tcW w:w="165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rPr>
              <w:t>202</w:t>
            </w:r>
            <w:r>
              <w:rPr>
                <w:rFonts w:hint="eastAsia" w:ascii="宋体" w:hAnsi="宋体" w:cs="宋体"/>
                <w:szCs w:val="21"/>
                <w:lang w:val="en-US" w:eastAsia="zh-CN"/>
              </w:rPr>
              <w:t>3</w:t>
            </w:r>
            <w:r>
              <w:rPr>
                <w:rFonts w:hint="eastAsia" w:ascii="宋体" w:hAnsi="宋体" w:cs="宋体"/>
                <w:szCs w:val="21"/>
              </w:rPr>
              <w:t>.</w:t>
            </w:r>
            <w:r>
              <w:rPr>
                <w:rFonts w:hint="eastAsia" w:ascii="宋体" w:hAnsi="宋体" w:cs="宋体"/>
                <w:szCs w:val="21"/>
                <w:lang w:val="en-US" w:eastAsia="zh-CN"/>
              </w:rPr>
              <w:t>7</w:t>
            </w:r>
            <w:r>
              <w:rPr>
                <w:rFonts w:hint="eastAsia" w:ascii="宋体" w:hAnsi="宋体" w:cs="宋体"/>
                <w:szCs w:val="21"/>
              </w:rPr>
              <w:t>.</w:t>
            </w:r>
            <w:r>
              <w:rPr>
                <w:rFonts w:hint="eastAsia" w:ascii="宋体" w:hAnsi="宋体" w:cs="宋体"/>
                <w:szCs w:val="21"/>
                <w:lang w:val="en-US" w:eastAsia="zh-CN"/>
              </w:rPr>
              <w:t>18</w:t>
            </w:r>
          </w:p>
        </w:tc>
        <w:tc>
          <w:tcPr>
            <w:tcW w:w="964"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42</w:t>
            </w:r>
          </w:p>
        </w:tc>
        <w:tc>
          <w:tcPr>
            <w:tcW w:w="1452" w:type="dxa"/>
            <w:vAlign w:val="top"/>
          </w:tcPr>
          <w:p>
            <w:pPr>
              <w:widowControl/>
              <w:jc w:val="center"/>
              <w:textAlignment w:val="center"/>
              <w:rPr>
                <w:rFonts w:hint="eastAsia" w:ascii="宋体" w:hAnsi="宋体" w:cs="宋体"/>
                <w:szCs w:val="21"/>
                <w:lang w:val="en-US" w:eastAsia="zh-CN"/>
              </w:rPr>
            </w:pPr>
            <w:r>
              <w:rPr>
                <w:rFonts w:hint="eastAsia" w:ascii="Arial" w:hAnsi="Arial" w:eastAsia="宋体" w:cs="Arial"/>
                <w:i w:val="0"/>
                <w:color w:val="auto"/>
                <w:sz w:val="20"/>
                <w:szCs w:val="20"/>
                <w:u w:val="none"/>
              </w:rPr>
              <w:t>2023-8-29</w:t>
            </w:r>
          </w:p>
        </w:tc>
        <w:tc>
          <w:tcPr>
            <w:tcW w:w="1452" w:type="dxa"/>
            <w:vAlign w:val="center"/>
          </w:tcPr>
          <w:p>
            <w:pPr>
              <w:snapToGrid w:val="0"/>
              <w:spacing w:line="360" w:lineRule="auto"/>
              <w:jc w:val="center"/>
              <w:rPr>
                <w:rFonts w:ascii="宋体" w:hAnsi="宋体" w:cs="宋体"/>
                <w:szCs w:val="21"/>
              </w:rPr>
            </w:pPr>
            <w:r>
              <w:rPr>
                <w:rFonts w:hint="eastAsia" w:ascii="宋体" w:hAnsi="宋体" w:cs="宋体"/>
                <w:szCs w:val="21"/>
                <w:lang w:val="en-US" w:eastAsia="zh-CN"/>
              </w:rPr>
              <w:t>3.8%-4.2%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53" w:hRule="atLeast"/>
        </w:trPr>
        <w:tc>
          <w:tcPr>
            <w:tcW w:w="56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2441"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65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452" w:type="dxa"/>
            <w:vAlign w:val="center"/>
          </w:tcPr>
          <w:p>
            <w:pPr>
              <w:snapToGrid w:val="0"/>
              <w:spacing w:line="360" w:lineRule="auto"/>
              <w:jc w:val="center"/>
              <w:rPr>
                <w:rFonts w:hint="eastAsia" w:ascii="宋体" w:hAnsi="宋体" w:cs="宋体"/>
                <w:szCs w:val="21"/>
                <w:lang w:val="en-US"/>
              </w:rPr>
            </w:pPr>
            <w:r>
              <w:rPr>
                <w:rFonts w:hint="eastAsia" w:ascii="宋体" w:hAnsi="宋体" w:cs="宋体"/>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99</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2025.7.9-2025.7.14</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2025.7.15</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49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100</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2025.7.16-2025.7.21</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2025.7.22</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49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101</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2025.7.23-2025.7.28</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2025.7.29</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49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2025-9-16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102</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2025.7.30-2025.8.4</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2025.8.5</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49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2025-9-23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103</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2025.8.6-2025.8.11</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2025.8.12</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49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hint="eastAsia" w:ascii="Arial" w:hAnsi="Arial" w:eastAsia="宋体" w:cs="Arial"/>
                <w:i w:val="0"/>
                <w:color w:val="auto"/>
                <w:sz w:val="20"/>
                <w:szCs w:val="20"/>
                <w:u w:val="none"/>
              </w:rPr>
              <w:t>2025-9-30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104</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2025.8.13-2025.8.18</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2025.8.19</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56</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rPr>
            </w:pPr>
            <w:r>
              <w:rPr>
                <w:rFonts w:ascii="Arial" w:hAnsi="Arial" w:eastAsia="宋体" w:cs="Arial"/>
                <w:i w:val="0"/>
                <w:color w:val="auto"/>
                <w:sz w:val="20"/>
                <w:szCs w:val="20"/>
                <w:u w:val="none"/>
              </w:rPr>
              <w:t>2025-10-14</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2025.8.20-2025.8.25</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2025.8.26</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56</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ascii="Arial" w:hAnsi="Arial" w:eastAsia="宋体" w:cs="Arial"/>
                <w:i w:val="0"/>
                <w:color w:val="auto"/>
                <w:sz w:val="20"/>
                <w:szCs w:val="20"/>
                <w:u w:val="none"/>
              </w:rPr>
              <w:t>2025-10-</w:t>
            </w:r>
            <w:r>
              <w:rPr>
                <w:rFonts w:hint="eastAsia" w:ascii="Arial" w:hAnsi="Arial" w:cs="Arial"/>
                <w:i w:val="0"/>
                <w:color w:val="auto"/>
                <w:sz w:val="20"/>
                <w:szCs w:val="20"/>
                <w:u w:val="none"/>
                <w:lang w:val="en-US" w:eastAsia="zh-CN"/>
              </w:rPr>
              <w:t>21</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106</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2025.8.27-2025.9.1</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56</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2025-10-28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107</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2025.9.3-2025.9.8</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2025.9.9</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56</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2025-11-4</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108</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2025.9.10-2025.9.15</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2025.9.16</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56</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hint="eastAsia" w:ascii="Arial" w:hAnsi="Arial" w:cs="Arial"/>
                <w:i w:val="0"/>
                <w:color w:val="auto"/>
                <w:sz w:val="20"/>
                <w:szCs w:val="20"/>
                <w:u w:val="none"/>
                <w:lang w:val="en-US" w:eastAsia="zh-CN"/>
              </w:rPr>
              <w:t>2025-11-11</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109</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2025.9.17-2025.9.22</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2025.9.23</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56</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2025-11-18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2.85%-3.15%</w:t>
            </w:r>
          </w:p>
        </w:tc>
      </w:tr>
    </w:tbl>
    <w:p>
      <w:pPr>
        <w:snapToGrid w:val="0"/>
        <w:spacing w:line="360" w:lineRule="auto"/>
        <w:ind w:firstLine="422" w:firstLineChars="200"/>
        <w:rPr>
          <w:rFonts w:ascii="宋体" w:hAnsi="宋体" w:cs="宋体"/>
          <w:b/>
          <w:szCs w:val="21"/>
        </w:rPr>
      </w:pPr>
      <w:r>
        <w:rPr>
          <w:rFonts w:hint="eastAsia" w:ascii="宋体" w:hAnsi="宋体" w:cs="宋体"/>
          <w:b/>
          <w:szCs w:val="21"/>
        </w:rPr>
        <w:t>十二、募集期认购/投资周期申购要素信息表</w:t>
      </w:r>
    </w:p>
    <w:p>
      <w:pPr>
        <w:jc w:val="center"/>
        <w:rPr>
          <w:rFonts w:hint="eastAsia" w:ascii="宋体" w:hAnsi="宋体" w:eastAsia="宋体" w:cs="宋体"/>
          <w:b/>
          <w:sz w:val="28"/>
          <w:szCs w:val="36"/>
          <w:lang w:eastAsia="zh-CN"/>
        </w:rPr>
      </w:pPr>
      <w:r>
        <w:rPr>
          <w:rFonts w:hint="eastAsia" w:ascii="宋体" w:hAnsi="宋体" w:cs="宋体"/>
          <w:b/>
          <w:sz w:val="28"/>
          <w:szCs w:val="36"/>
        </w:rPr>
        <w:t>“金紫薇”共赢B系列</w:t>
      </w:r>
      <w:r>
        <w:rPr>
          <w:rFonts w:hint="eastAsia" w:ascii="宋体" w:hAnsi="宋体" w:cs="宋体"/>
          <w:b/>
          <w:sz w:val="28"/>
          <w:szCs w:val="36"/>
          <w:lang w:val="en-US" w:eastAsia="zh-CN"/>
        </w:rPr>
        <w:t>15</w:t>
      </w:r>
      <w:r>
        <w:rPr>
          <w:rFonts w:hint="eastAsia" w:ascii="宋体" w:hAnsi="宋体" w:cs="宋体"/>
          <w:b/>
          <w:sz w:val="28"/>
          <w:szCs w:val="36"/>
          <w:lang w:eastAsia="zh-CN"/>
        </w:rPr>
        <w:t>号</w:t>
      </w:r>
      <w:r>
        <w:rPr>
          <w:rFonts w:hint="eastAsia" w:ascii="宋体" w:hAnsi="宋体" w:cs="宋体"/>
          <w:b/>
          <w:sz w:val="28"/>
          <w:szCs w:val="36"/>
        </w:rPr>
        <w:t>人民币理财产品</w:t>
      </w:r>
      <w:r>
        <w:rPr>
          <w:rFonts w:hint="eastAsia" w:ascii="宋体" w:hAnsi="宋体" w:cs="宋体"/>
          <w:b/>
          <w:sz w:val="28"/>
          <w:szCs w:val="36"/>
          <w:lang w:eastAsia="zh-CN"/>
        </w:rPr>
        <w:t>（济南分行新客理财）</w:t>
      </w:r>
    </w:p>
    <w:p>
      <w:pPr>
        <w:spacing w:line="360" w:lineRule="auto"/>
        <w:jc w:val="center"/>
        <w:rPr>
          <w:rFonts w:ascii="宋体" w:hAnsi="宋体" w:cs="宋体"/>
          <w:b/>
          <w:sz w:val="28"/>
          <w:szCs w:val="36"/>
        </w:rPr>
      </w:pPr>
      <w:r>
        <w:rPr>
          <w:rFonts w:hint="eastAsia" w:ascii="宋体" w:hAnsi="宋体" w:cs="宋体"/>
          <w:b/>
          <w:sz w:val="28"/>
          <w:szCs w:val="36"/>
        </w:rPr>
        <w:t>投资周期申购要素表</w:t>
      </w:r>
    </w:p>
    <w:p>
      <w:pPr>
        <w:spacing w:line="360" w:lineRule="auto"/>
        <w:rPr>
          <w:rFonts w:ascii="宋体" w:hAnsi="宋体" w:cs="宋体"/>
          <w:szCs w:val="30"/>
        </w:rPr>
      </w:pPr>
      <w:r>
        <w:rPr>
          <w:rFonts w:hint="eastAsia" w:ascii="宋体" w:hAnsi="宋体" w:cs="宋体"/>
          <w:szCs w:val="30"/>
        </w:rPr>
        <w:t>尊敬的投资者：</w:t>
      </w:r>
    </w:p>
    <w:p>
      <w:pPr>
        <w:spacing w:line="360" w:lineRule="auto"/>
        <w:ind w:firstLine="420"/>
        <w:rPr>
          <w:rFonts w:ascii="宋体" w:hAnsi="宋体" w:cs="宋体"/>
          <w:szCs w:val="30"/>
        </w:rPr>
      </w:pPr>
      <w:r>
        <w:rPr>
          <w:rFonts w:hint="eastAsia" w:ascii="宋体" w:hAnsi="宋体" w:cs="宋体"/>
          <w:szCs w:val="30"/>
        </w:rPr>
        <w:t>按照“金紫薇”共赢B系列</w:t>
      </w:r>
      <w:r>
        <w:rPr>
          <w:rFonts w:hint="eastAsia" w:ascii="宋体" w:hAnsi="宋体" w:cs="宋体"/>
          <w:szCs w:val="30"/>
          <w:lang w:val="en-US" w:eastAsia="zh-CN"/>
        </w:rPr>
        <w:t>15</w:t>
      </w:r>
      <w:r>
        <w:rPr>
          <w:rFonts w:hint="eastAsia" w:ascii="宋体" w:hAnsi="宋体" w:cs="宋体"/>
          <w:szCs w:val="30"/>
          <w:lang w:eastAsia="zh-CN"/>
        </w:rPr>
        <w:t>号</w:t>
      </w:r>
      <w:r>
        <w:rPr>
          <w:rFonts w:hint="eastAsia" w:ascii="宋体" w:hAnsi="宋体" w:cs="宋体"/>
          <w:szCs w:val="30"/>
        </w:rPr>
        <w:t>人民币理财产品说明书</w:t>
      </w:r>
      <w:r>
        <w:rPr>
          <w:rFonts w:hint="eastAsia" w:ascii="宋体" w:hAnsi="宋体" w:cs="宋体"/>
          <w:szCs w:val="30"/>
          <w:lang w:eastAsia="zh-CN"/>
        </w:rPr>
        <w:t>（济南分行新客理财）</w:t>
      </w:r>
      <w:r>
        <w:rPr>
          <w:rFonts w:hint="eastAsia" w:ascii="宋体" w:hAnsi="宋体" w:cs="宋体"/>
          <w:szCs w:val="30"/>
        </w:rPr>
        <w:t>相关规定，我行将“金紫薇”共赢B系列</w:t>
      </w:r>
      <w:r>
        <w:rPr>
          <w:rFonts w:hint="eastAsia" w:ascii="宋体" w:hAnsi="宋体" w:cs="宋体"/>
          <w:szCs w:val="30"/>
          <w:lang w:val="en-US" w:eastAsia="zh-CN"/>
        </w:rPr>
        <w:t>15</w:t>
      </w:r>
      <w:r>
        <w:rPr>
          <w:rFonts w:hint="eastAsia" w:ascii="宋体" w:hAnsi="宋体" w:cs="宋体"/>
          <w:szCs w:val="30"/>
          <w:lang w:eastAsia="zh-CN"/>
        </w:rPr>
        <w:t>号</w:t>
      </w:r>
      <w:r>
        <w:rPr>
          <w:rFonts w:hint="eastAsia" w:ascii="宋体" w:hAnsi="宋体" w:cs="宋体"/>
          <w:szCs w:val="30"/>
        </w:rPr>
        <w:t>人民币理财产品</w:t>
      </w:r>
      <w:r>
        <w:rPr>
          <w:rFonts w:hint="eastAsia" w:ascii="宋体" w:hAnsi="宋体" w:cs="宋体"/>
          <w:szCs w:val="30"/>
          <w:lang w:eastAsia="zh-CN"/>
        </w:rPr>
        <w:t>（济南分行新客理财）</w:t>
      </w:r>
      <w:r>
        <w:rPr>
          <w:rFonts w:hint="eastAsia" w:ascii="宋体" w:hAnsi="宋体" w:cs="宋体"/>
          <w:szCs w:val="30"/>
        </w:rPr>
        <w:t>投资周期申购要素表公告如下，请投资者关注：</w:t>
      </w:r>
    </w:p>
    <w:tbl>
      <w:tblPr>
        <w:tblStyle w:val="13"/>
        <w:tblW w:w="900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16"/>
        <w:gridCol w:w="59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理财产品代码</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bCs/>
                <w:lang w:val="en-US" w:eastAsia="zh-CN"/>
              </w:rPr>
            </w:pPr>
            <w:r>
              <w:rPr>
                <w:rFonts w:hint="eastAsia" w:ascii="宋体" w:hAnsi="宋体" w:cs="宋体"/>
                <w:b/>
                <w:bCs/>
                <w:lang w:eastAsia="zh-CN"/>
              </w:rPr>
              <w:t>B2</w:t>
            </w:r>
            <w:r>
              <w:rPr>
                <w:rFonts w:hint="eastAsia" w:ascii="宋体" w:hAnsi="宋体" w:cs="宋体"/>
                <w:b/>
                <w:bCs/>
                <w:lang w:val="en-US" w:eastAsia="zh-CN"/>
              </w:rPr>
              <w:t>3015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开放</w:t>
            </w:r>
            <w:r>
              <w:rPr>
                <w:rFonts w:hint="eastAsia" w:ascii="宋体" w:hAnsi="宋体" w:cs="宋体"/>
                <w:b/>
                <w:bCs/>
              </w:rPr>
              <w:t>期</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9</w:t>
            </w:r>
            <w:r>
              <w:rPr>
                <w:rFonts w:hint="eastAsia" w:ascii="宋体" w:hAnsi="宋体" w:cs="宋体"/>
                <w:b/>
                <w:bCs/>
              </w:rPr>
              <w:t>月</w:t>
            </w:r>
            <w:r>
              <w:rPr>
                <w:rFonts w:hint="eastAsia" w:ascii="宋体" w:hAnsi="宋体" w:cs="宋体"/>
                <w:b/>
                <w:bCs/>
                <w:lang w:val="en-US" w:eastAsia="zh-CN"/>
              </w:rPr>
              <w:t>17</w:t>
            </w:r>
            <w:r>
              <w:rPr>
                <w:rFonts w:hint="eastAsia" w:ascii="宋体" w:hAnsi="宋体" w:cs="宋体"/>
                <w:b/>
                <w:bCs/>
              </w:rPr>
              <w:t>日8:30至</w:t>
            </w: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9</w:t>
            </w:r>
            <w:r>
              <w:rPr>
                <w:rFonts w:hint="eastAsia" w:ascii="宋体" w:hAnsi="宋体" w:cs="宋体"/>
                <w:b/>
                <w:bCs/>
              </w:rPr>
              <w:t>月</w:t>
            </w:r>
            <w:r>
              <w:rPr>
                <w:rFonts w:hint="eastAsia" w:ascii="宋体" w:hAnsi="宋体" w:cs="宋体"/>
                <w:b/>
                <w:bCs/>
                <w:lang w:val="en-US" w:eastAsia="zh-CN"/>
              </w:rPr>
              <w:t>22</w:t>
            </w:r>
            <w:r>
              <w:rPr>
                <w:rFonts w:hint="eastAsia" w:ascii="宋体" w:hAnsi="宋体" w:cs="宋体"/>
                <w:b/>
                <w:bCs/>
              </w:rPr>
              <w:t>日17:30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本投资周期确认</w:t>
            </w:r>
            <w:r>
              <w:rPr>
                <w:rFonts w:hint="eastAsia" w:ascii="宋体" w:hAnsi="宋体" w:cs="宋体"/>
                <w:b/>
                <w:bCs/>
              </w:rPr>
              <w:t>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9</w:t>
            </w:r>
            <w:r>
              <w:rPr>
                <w:rFonts w:hint="eastAsia" w:ascii="宋体" w:hAnsi="宋体" w:cs="宋体"/>
                <w:b/>
                <w:bCs/>
              </w:rPr>
              <w:t>月</w:t>
            </w:r>
            <w:r>
              <w:rPr>
                <w:rFonts w:hint="eastAsia" w:ascii="宋体" w:hAnsi="宋体" w:cs="宋体"/>
                <w:b/>
                <w:bCs/>
                <w:lang w:val="en-US" w:eastAsia="zh-CN"/>
              </w:rPr>
              <w:t>23</w:t>
            </w:r>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本投资周期终止日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202</w:t>
            </w:r>
            <w:r>
              <w:rPr>
                <w:rFonts w:hint="eastAsia" w:ascii="宋体" w:hAnsi="宋体" w:cs="宋体"/>
                <w:b/>
                <w:bCs/>
                <w:lang w:val="en-US" w:eastAsia="zh-CN"/>
              </w:rPr>
              <w:t>5年11</w:t>
            </w:r>
            <w:r>
              <w:rPr>
                <w:rFonts w:hint="eastAsia" w:ascii="宋体" w:hAnsi="宋体" w:cs="宋体"/>
                <w:b/>
                <w:bCs/>
              </w:rPr>
              <w:t>月</w:t>
            </w:r>
            <w:r>
              <w:rPr>
                <w:rFonts w:hint="eastAsia" w:ascii="宋体" w:hAnsi="宋体" w:cs="宋体"/>
                <w:b/>
                <w:bCs/>
                <w:lang w:val="en-US" w:eastAsia="zh-CN"/>
              </w:rPr>
              <w:t>18</w:t>
            </w:r>
            <w:bookmarkStart w:id="0" w:name="_GoBack"/>
            <w:bookmarkEnd w:id="0"/>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本投资周期天数</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val="en-US" w:eastAsia="zh-CN"/>
              </w:rPr>
              <w:t>56</w:t>
            </w:r>
            <w:r>
              <w:rPr>
                <w:rFonts w:hint="eastAsia" w:ascii="宋体" w:hAnsi="宋体" w:cs="宋体"/>
                <w:b/>
                <w:bCs/>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本投资周期业绩比较基准</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lang w:val="en-US" w:eastAsia="zh-CN"/>
              </w:rPr>
            </w:pPr>
            <w:r>
              <w:rPr>
                <w:rFonts w:hint="eastAsia" w:ascii="宋体" w:hAnsi="宋体" w:cs="宋体"/>
                <w:b/>
                <w:bCs/>
                <w:lang w:val="en-US" w:eastAsia="zh-CN"/>
              </w:rPr>
              <w:t>2.85%-3.15%</w:t>
            </w:r>
          </w:p>
          <w:p>
            <w:pPr>
              <w:widowControl w:val="0"/>
              <w:adjustRightInd/>
              <w:snapToGrid/>
              <w:spacing w:line="360" w:lineRule="auto"/>
              <w:ind w:firstLine="0" w:firstLineChars="0"/>
              <w:jc w:val="both"/>
              <w:rPr>
                <w:rFonts w:hint="eastAsia" w:ascii="宋体" w:hAnsi="宋体" w:eastAsia="宋体" w:cs="宋体"/>
                <w:sz w:val="21"/>
                <w:szCs w:val="30"/>
                <w:highlight w:val="none"/>
              </w:rPr>
            </w:pPr>
            <w:r>
              <w:rPr>
                <w:rFonts w:hint="eastAsia" w:ascii="宋体" w:hAnsi="宋体" w:eastAsia="宋体" w:cs="宋体"/>
                <w:sz w:val="21"/>
                <w:szCs w:val="30"/>
                <w:highlight w:val="none"/>
              </w:rPr>
              <w:t>本产品为净值型产品，业绩比较基准</w:t>
            </w:r>
            <w:r>
              <w:rPr>
                <w:rFonts w:hint="eastAsia" w:ascii="宋体" w:hAnsi="宋体" w:eastAsia="宋体" w:cs="宋体"/>
                <w:sz w:val="21"/>
                <w:szCs w:val="30"/>
                <w:highlight w:val="none"/>
                <w:lang w:eastAsia="zh-CN"/>
              </w:rPr>
              <w:t>不是预期收益率，不代表产品的未来表现和实际收益，不构成对产品的收益承诺，</w:t>
            </w:r>
            <w:r>
              <w:rPr>
                <w:rFonts w:hint="eastAsia" w:ascii="宋体" w:hAnsi="宋体" w:eastAsia="宋体" w:cs="宋体"/>
                <w:sz w:val="21"/>
                <w:szCs w:val="30"/>
                <w:highlight w:val="none"/>
              </w:rPr>
              <w:t>业绩表现将随市场波动，具有不确定性</w:t>
            </w:r>
            <w:r>
              <w:rPr>
                <w:rFonts w:hint="eastAsia" w:ascii="宋体" w:hAnsi="宋体" w:eastAsia="宋体" w:cs="宋体"/>
                <w:sz w:val="21"/>
                <w:szCs w:val="30"/>
                <w:highlight w:val="none"/>
                <w:lang w:eastAsia="zh-CN"/>
              </w:rPr>
              <w:t>，</w:t>
            </w:r>
            <w:r>
              <w:rPr>
                <w:rFonts w:hint="eastAsia" w:ascii="宋体" w:hAnsi="宋体" w:eastAsia="宋体" w:cs="宋体"/>
                <w:sz w:val="21"/>
                <w:szCs w:val="30"/>
                <w:highlight w:val="none"/>
              </w:rPr>
              <w:t xml:space="preserve">投资者不应将业绩比较基准作为持有本理财计划份额到期的综合投资收益参考值。 </w:t>
            </w:r>
          </w:p>
          <w:p>
            <w:pPr>
              <w:widowControl w:val="0"/>
              <w:adjustRightInd/>
              <w:snapToGrid/>
              <w:spacing w:line="360" w:lineRule="auto"/>
              <w:ind w:firstLine="0" w:firstLineChars="0"/>
              <w:jc w:val="both"/>
              <w:rPr>
                <w:rFonts w:hint="eastAsia" w:ascii="宋体" w:hAnsi="宋体" w:cs="宋体"/>
                <w:b/>
                <w:bCs/>
                <w:lang w:val="en-US" w:eastAsia="zh-CN"/>
              </w:rPr>
            </w:pPr>
            <w:r>
              <w:rPr>
                <w:rFonts w:hint="eastAsia" w:ascii="宋体" w:hAnsi="宋体" w:eastAsia="宋体" w:cs="宋体"/>
                <w:sz w:val="21"/>
                <w:szCs w:val="30"/>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本投资周期购买起点金额</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个人客户投资起点金额为1万元，以1000元的整数倍递增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本投资周期发行规模上限</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val="en-US" w:eastAsia="zh-CN"/>
              </w:rPr>
              <w:t>不超过0.3亿元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产品类型</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非保本开放式净值型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受理渠道</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hint="eastAsia" w:ascii="宋体" w:hAnsi="宋体" w:eastAsia="宋体" w:cs="宋体"/>
                <w:b/>
                <w:bCs/>
                <w:lang w:eastAsia="zh-CN"/>
              </w:rPr>
            </w:pPr>
            <w:r>
              <w:rPr>
                <w:rFonts w:hint="eastAsia" w:ascii="宋体" w:hAnsi="宋体" w:cs="宋体"/>
                <w:b/>
                <w:bCs/>
                <w:highlight w:val="none"/>
                <w:lang w:eastAsia="zh-CN"/>
              </w:rPr>
              <w:t>济南分行</w:t>
            </w:r>
            <w:r>
              <w:rPr>
                <w:rFonts w:hint="eastAsia" w:ascii="宋体" w:hAnsi="宋体" w:cs="宋体"/>
                <w:b/>
                <w:bCs/>
                <w:highlight w:val="none"/>
              </w:rPr>
              <w:t>营业网点柜面、手机银行客户端、网上银行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备注</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hint="eastAsia" w:ascii="宋体" w:hAnsi="宋体" w:cs="宋体"/>
                <w:b/>
                <w:bCs/>
              </w:rPr>
            </w:pPr>
            <w:r>
              <w:rPr>
                <w:rFonts w:hint="eastAsia" w:ascii="宋体" w:hAnsi="宋体" w:cs="宋体"/>
                <w:b/>
                <w:bCs/>
                <w:lang w:eastAsia="zh-CN"/>
              </w:rPr>
              <w:t>销售群体：</w:t>
            </w:r>
            <w:r>
              <w:rPr>
                <w:rFonts w:hint="eastAsia" w:ascii="宋体" w:hAnsi="宋体" w:cs="宋体"/>
                <w:b/>
                <w:bCs/>
              </w:rPr>
              <w:t>未成功购买过我行理财产品的个人</w:t>
            </w:r>
            <w:r>
              <w:rPr>
                <w:rFonts w:hint="eastAsia" w:ascii="宋体" w:hAnsi="宋体" w:cs="宋体"/>
                <w:b/>
                <w:bCs/>
                <w:lang w:eastAsia="zh-CN"/>
              </w:rPr>
              <w:t>、机构</w:t>
            </w:r>
            <w:r>
              <w:rPr>
                <w:rFonts w:hint="eastAsia" w:ascii="宋体" w:hAnsi="宋体" w:cs="宋体"/>
                <w:b/>
                <w:bCs/>
              </w:rPr>
              <w:t>客户</w:t>
            </w:r>
          </w:p>
          <w:p>
            <w:pPr>
              <w:tabs>
                <w:tab w:val="left" w:pos="7470"/>
              </w:tabs>
              <w:spacing w:line="180" w:lineRule="atLeast"/>
              <w:jc w:val="center"/>
              <w:rPr>
                <w:rFonts w:hint="eastAsia" w:ascii="宋体" w:hAnsi="宋体" w:eastAsia="宋体" w:cs="宋体"/>
                <w:b/>
                <w:bCs/>
                <w:lang w:eastAsia="zh-CN"/>
              </w:rPr>
            </w:pPr>
            <w:r>
              <w:rPr>
                <w:rFonts w:hint="eastAsia" w:ascii="宋体" w:hAnsi="宋体" w:cs="宋体"/>
                <w:b/>
                <w:bCs/>
                <w:lang w:eastAsia="zh-CN"/>
              </w:rPr>
              <w:t>销售渠道：</w:t>
            </w:r>
            <w:r>
              <w:rPr>
                <w:rFonts w:hint="eastAsia" w:ascii="宋体" w:hAnsi="宋体" w:cs="宋体"/>
                <w:b/>
                <w:bCs/>
              </w:rPr>
              <w:t>济南分行柜面</w:t>
            </w:r>
            <w:r>
              <w:rPr>
                <w:rFonts w:hint="eastAsia" w:ascii="宋体" w:hAnsi="宋体" w:cs="宋体"/>
                <w:b/>
                <w:bCs/>
                <w:lang w:eastAsia="zh-CN"/>
              </w:rPr>
              <w:t>、</w:t>
            </w:r>
            <w:r>
              <w:rPr>
                <w:rFonts w:hint="eastAsia" w:ascii="宋体" w:hAnsi="宋体" w:cs="宋体"/>
                <w:b/>
                <w:bCs/>
              </w:rPr>
              <w:t>理财签约机构为济南分行的个人</w:t>
            </w:r>
            <w:r>
              <w:rPr>
                <w:rFonts w:hint="eastAsia" w:ascii="宋体" w:hAnsi="宋体" w:cs="宋体"/>
                <w:b/>
                <w:bCs/>
                <w:lang w:eastAsia="zh-CN"/>
              </w:rPr>
              <w:t>、机构</w:t>
            </w:r>
            <w:r>
              <w:rPr>
                <w:rFonts w:hint="eastAsia" w:ascii="宋体" w:hAnsi="宋体" w:cs="宋体"/>
                <w:b/>
                <w:bCs/>
              </w:rPr>
              <w:t>客户</w:t>
            </w:r>
            <w:r>
              <w:rPr>
                <w:rFonts w:hint="eastAsia" w:ascii="宋体" w:hAnsi="宋体" w:cs="宋体"/>
                <w:b/>
                <w:bCs/>
                <w:lang w:eastAsia="zh-CN"/>
              </w:rPr>
              <w:t>可通过电子渠道购买</w:t>
            </w:r>
          </w:p>
        </w:tc>
      </w:tr>
    </w:tbl>
    <w:p>
      <w:pPr>
        <w:ind w:firstLine="420"/>
        <w:rPr>
          <w:rFonts w:ascii="宋体" w:hAnsi="宋体" w:cs="宋体"/>
          <w:b/>
          <w:szCs w:val="30"/>
          <w:highlight w:val="none"/>
        </w:rPr>
      </w:pPr>
      <w:r>
        <w:rPr>
          <w:rFonts w:hint="eastAsia" w:ascii="宋体" w:hAnsi="宋体" w:cs="宋体"/>
          <w:b/>
          <w:szCs w:val="30"/>
          <w:highlight w:val="none"/>
        </w:rPr>
        <w:t>特别提示：</w:t>
      </w:r>
    </w:p>
    <w:p>
      <w:pPr>
        <w:spacing w:line="360" w:lineRule="auto"/>
        <w:ind w:firstLine="420"/>
        <w:rPr>
          <w:rFonts w:ascii="宋体" w:hAnsi="宋体" w:cs="宋体"/>
          <w:szCs w:val="30"/>
          <w:highlight w:val="none"/>
        </w:rPr>
      </w:pPr>
      <w:r>
        <w:rPr>
          <w:rFonts w:hint="eastAsia" w:ascii="宋体" w:hAnsi="宋体" w:cs="宋体"/>
          <w:szCs w:val="30"/>
          <w:highlight w:val="none"/>
        </w:rPr>
        <w:t>1、本募集期认购/投资周期开放申购要素表是理财产品说明书不可分割之组成部分。</w:t>
      </w:r>
    </w:p>
    <w:p>
      <w:pPr>
        <w:snapToGrid w:val="0"/>
        <w:spacing w:line="360" w:lineRule="auto"/>
        <w:ind w:firstLine="420" w:firstLineChars="200"/>
        <w:rPr>
          <w:rFonts w:ascii="宋体" w:hAnsi="宋体" w:cs="宋体"/>
          <w:szCs w:val="30"/>
          <w:highlight w:val="none"/>
        </w:rPr>
      </w:pPr>
      <w:r>
        <w:rPr>
          <w:rFonts w:hint="eastAsia" w:ascii="宋体" w:hAnsi="宋体" w:cs="宋体"/>
          <w:szCs w:val="30"/>
          <w:highlight w:val="none"/>
        </w:rPr>
        <w:t>2、本投资周期开放申购要素表仅适用于本投资周期，后续每周期具体信息可能随市场变化而变化，投资者应随时通过我行营业网点或官方网站关注本理财产品的信息披露情况，获取相关信息。</w:t>
      </w:r>
    </w:p>
    <w:p>
      <w:pPr>
        <w:adjustRightInd w:val="0"/>
        <w:snapToGrid w:val="0"/>
        <w:spacing w:line="360" w:lineRule="auto"/>
        <w:ind w:right="26"/>
        <w:jc w:val="left"/>
        <w:rPr>
          <w:rFonts w:ascii="宋体" w:hAnsi="宋体" w:cs="宋体"/>
          <w:szCs w:val="21"/>
          <w:highlight w:val="none"/>
        </w:rPr>
      </w:pPr>
    </w:p>
    <w:p>
      <w:pPr>
        <w:adjustRightInd w:val="0"/>
        <w:snapToGrid w:val="0"/>
        <w:spacing w:line="360" w:lineRule="auto"/>
        <w:ind w:right="26"/>
        <w:jc w:val="left"/>
        <w:rPr>
          <w:rFonts w:ascii="宋体" w:hAnsi="宋体" w:cs="宋体"/>
          <w:b/>
          <w:szCs w:val="21"/>
          <w:highlight w:val="none"/>
        </w:rPr>
      </w:pPr>
      <w:r>
        <w:rPr>
          <w:rFonts w:hint="eastAsia" w:ascii="宋体" w:hAnsi="宋体" w:cs="宋体"/>
          <w:b/>
          <w:szCs w:val="21"/>
          <w:highlight w:val="none"/>
        </w:rPr>
        <w:t>投资者声明：投资决策完全是由投资者独立、自主、谨慎做出的。投资者已阅读本产品说明书所有条款，充分理解并自愿承担本产品相关风险。</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r>
        <w:rPr>
          <w:rFonts w:hint="eastAsia" w:ascii="宋体" w:hAnsi="宋体" w:cs="宋体"/>
          <w:szCs w:val="21"/>
          <w:highlight w:val="none"/>
        </w:rPr>
        <w:t xml:space="preserve"> 客户签字确认：</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p>
    <w:p>
      <w:pPr>
        <w:widowControl/>
        <w:adjustRightInd w:val="0"/>
        <w:snapToGrid w:val="0"/>
        <w:spacing w:line="360" w:lineRule="auto"/>
        <w:ind w:firstLine="600"/>
        <w:jc w:val="left"/>
        <w:rPr>
          <w:rFonts w:hint="eastAsia" w:ascii="宋体" w:hAnsi="宋体" w:cs="宋体"/>
          <w:szCs w:val="21"/>
          <w:highlight w:val="none"/>
        </w:rPr>
      </w:pPr>
      <w:r>
        <w:rPr>
          <w:rFonts w:hint="eastAsia" w:ascii="宋体" w:hAnsi="宋体" w:cs="宋体"/>
          <w:szCs w:val="21"/>
          <w:highlight w:val="none"/>
        </w:rPr>
        <w:t xml:space="preserve">                                         日        期：    年   月   日</w:t>
      </w:r>
    </w:p>
    <w:p>
      <w:pPr>
        <w:widowControl/>
        <w:adjustRightInd w:val="0"/>
        <w:snapToGrid w:val="0"/>
        <w:spacing w:line="360" w:lineRule="auto"/>
        <w:ind w:firstLine="600"/>
        <w:jc w:val="left"/>
        <w:rPr>
          <w:rFonts w:hint="eastAsia" w:ascii="宋体" w:hAnsi="宋体" w:cs="宋体"/>
          <w:szCs w:val="21"/>
          <w:highlight w:val="none"/>
        </w:rPr>
      </w:pPr>
    </w:p>
    <w:p>
      <w:pPr>
        <w:snapToGrid w:val="0"/>
        <w:rPr>
          <w:highlight w:val="none"/>
        </w:rPr>
      </w:pPr>
      <w:r>
        <w:rPr>
          <w:rFonts w:hint="eastAsia" w:ascii="宋体" w:hAnsi="宋体" w:cs="宋体"/>
          <w:szCs w:val="21"/>
          <w:highlight w:val="none"/>
        </w:rPr>
        <w:t>（本说明书一式两份，一份银行留存，一份客户留存）</w:t>
      </w:r>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44F21C"/>
    <w:multiLevelType w:val="singleLevel"/>
    <w:tmpl w:val="B544F21C"/>
    <w:lvl w:ilvl="0" w:tentative="0">
      <w:start w:val="5"/>
      <w:numFmt w:val="decimal"/>
      <w:suff w:val="nothing"/>
      <w:lvlText w:val="%1、"/>
      <w:lvlJc w:val="left"/>
    </w:lvl>
  </w:abstractNum>
  <w:abstractNum w:abstractNumId="1">
    <w:nsid w:val="40336D9C"/>
    <w:multiLevelType w:val="singleLevel"/>
    <w:tmpl w:val="40336D9C"/>
    <w:lvl w:ilvl="0" w:tentative="0">
      <w:start w:val="2"/>
      <w:numFmt w:val="chineseCounting"/>
      <w:suff w:val="nothing"/>
      <w:lvlText w:val="%1、"/>
      <w:lvlJc w:val="left"/>
      <w:rPr>
        <w:rFonts w:hint="eastAsia"/>
      </w:rPr>
    </w:lvl>
  </w:abstractNum>
  <w:abstractNum w:abstractNumId="2">
    <w:nsid w:val="601CEE98"/>
    <w:multiLevelType w:val="singleLevel"/>
    <w:tmpl w:val="601CEE98"/>
    <w:lvl w:ilvl="0" w:tentative="0">
      <w:start w:val="1"/>
      <w:numFmt w:val="decimal"/>
      <w:suff w:val="nothing"/>
      <w:lvlText w:val="%1、"/>
      <w:lvlJc w:val="left"/>
    </w:lvl>
  </w:abstractNum>
  <w:abstractNum w:abstractNumId="3">
    <w:nsid w:val="61026B1A"/>
    <w:multiLevelType w:val="singleLevel"/>
    <w:tmpl w:val="61026B1A"/>
    <w:lvl w:ilvl="0" w:tentative="0">
      <w:start w:val="1"/>
      <w:numFmt w:val="decimal"/>
      <w:suff w:val="nothing"/>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1730E86"/>
    <w:rsid w:val="14D156BC"/>
    <w:rsid w:val="15C448F6"/>
    <w:rsid w:val="15DA38E1"/>
    <w:rsid w:val="220256A8"/>
    <w:rsid w:val="2475515F"/>
    <w:rsid w:val="26476E9D"/>
    <w:rsid w:val="28F10B10"/>
    <w:rsid w:val="2D484AC1"/>
    <w:rsid w:val="2FB45040"/>
    <w:rsid w:val="31677E55"/>
    <w:rsid w:val="39707744"/>
    <w:rsid w:val="435E027C"/>
    <w:rsid w:val="43FB16D3"/>
    <w:rsid w:val="50F0466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1"/>
    <w:pPr>
      <w:ind w:left="120"/>
      <w:outlineLvl w:val="0"/>
    </w:pPr>
    <w:rPr>
      <w:rFonts w:ascii="微软雅黑" w:hAnsi="微软雅黑" w:eastAsia="微软雅黑" w:cs="微软雅黑"/>
      <w:b/>
      <w:bCs/>
      <w:szCs w:val="21"/>
      <w:lang w:val="zh-CN" w:bidi="zh-CN"/>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pPr>
      <w:ind w:left="120"/>
    </w:pPr>
    <w:rPr>
      <w:rFonts w:ascii="宋体" w:hAnsi="宋体" w:cs="宋体"/>
      <w:szCs w:val="21"/>
      <w:lang w:val="zh-CN" w:bidi="zh-CN"/>
    </w:rPr>
  </w:style>
  <w:style w:type="paragraph" w:styleId="5">
    <w:name w:val="Body Text Indent"/>
    <w:basedOn w:val="1"/>
    <w:qFormat/>
    <w:uiPriority w:val="0"/>
    <w:pPr>
      <w:widowControl/>
      <w:jc w:val="left"/>
    </w:pPr>
    <w:rPr>
      <w:rFonts w:hint="eastAsia" w:ascii="宋体" w:hAnsi="宋体" w:cs="Times New Roman"/>
      <w:kern w:val="0"/>
      <w:sz w:val="24"/>
    </w:rPr>
  </w:style>
  <w:style w:type="paragraph" w:styleId="6">
    <w:name w:val="Balloon Text"/>
    <w:basedOn w:val="1"/>
    <w:link w:val="19"/>
    <w:qFormat/>
    <w:uiPriority w:val="0"/>
    <w:rPr>
      <w:sz w:val="18"/>
      <w:szCs w:val="18"/>
    </w:rPr>
  </w:style>
  <w:style w:type="paragraph" w:styleId="7">
    <w:name w:val="footer"/>
    <w:basedOn w:val="1"/>
    <w:link w:val="21"/>
    <w:qFormat/>
    <w:uiPriority w:val="99"/>
    <w:pPr>
      <w:tabs>
        <w:tab w:val="center" w:pos="4153"/>
        <w:tab w:val="right" w:pos="8306"/>
      </w:tabs>
      <w:snapToGrid w:val="0"/>
      <w:jc w:val="left"/>
    </w:pPr>
    <w:rPr>
      <w:sz w:val="18"/>
      <w:szCs w:val="18"/>
    </w:rPr>
  </w:style>
  <w:style w:type="paragraph" w:styleId="8">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cs="Times New Roman"/>
      <w:kern w:val="0"/>
      <w:sz w:val="24"/>
    </w:rPr>
  </w:style>
  <w:style w:type="character" w:styleId="11">
    <w:name w:val="Hyperlink"/>
    <w:basedOn w:val="10"/>
    <w:qFormat/>
    <w:uiPriority w:val="0"/>
    <w:rPr>
      <w:color w:val="0000FF"/>
      <w:u w:val="single"/>
    </w:rPr>
  </w:style>
  <w:style w:type="character" w:styleId="12">
    <w:name w:val="annotation reference"/>
    <w:basedOn w:val="10"/>
    <w:qFormat/>
    <w:uiPriority w:val="0"/>
    <w:rPr>
      <w:sz w:val="21"/>
      <w:szCs w:val="21"/>
    </w:rPr>
  </w:style>
  <w:style w:type="paragraph" w:customStyle="1" w:styleId="14">
    <w:name w:val="Table Paragraph"/>
    <w:basedOn w:val="1"/>
    <w:qFormat/>
    <w:uiPriority w:val="1"/>
    <w:pPr>
      <w:spacing w:before="99"/>
      <w:ind w:left="107"/>
    </w:pPr>
    <w:rPr>
      <w:rFonts w:ascii="宋体" w:hAnsi="宋体" w:cs="宋体"/>
      <w:lang w:val="zh-CN" w:bidi="zh-CN"/>
    </w:rPr>
  </w:style>
  <w:style w:type="paragraph" w:customStyle="1" w:styleId="15">
    <w:name w:val="列出段落1"/>
    <w:basedOn w:val="1"/>
    <w:qFormat/>
    <w:uiPriority w:val="1"/>
    <w:pPr>
      <w:ind w:left="755" w:hanging="214"/>
    </w:pPr>
    <w:rPr>
      <w:rFonts w:ascii="微软雅黑" w:hAnsi="微软雅黑" w:eastAsia="微软雅黑" w:cs="微软雅黑"/>
      <w:lang w:val="zh-CN" w:bidi="zh-CN"/>
    </w:rPr>
  </w:style>
  <w:style w:type="character" w:customStyle="1" w:styleId="16">
    <w:name w:val="10"/>
    <w:basedOn w:val="10"/>
    <w:qFormat/>
    <w:uiPriority w:val="0"/>
    <w:rPr>
      <w:rFonts w:hint="default" w:ascii="Times New Roman" w:hAnsi="Times New Roman" w:cs="Times New Roman"/>
    </w:rPr>
  </w:style>
  <w:style w:type="character" w:customStyle="1" w:styleId="17">
    <w:name w:val="16"/>
    <w:basedOn w:val="10"/>
    <w:qFormat/>
    <w:uiPriority w:val="0"/>
    <w:rPr>
      <w:rFonts w:hint="default" w:ascii="Times New Roman" w:hAnsi="Times New Roman" w:cs="Times New Roman"/>
      <w:kern w:val="2"/>
      <w:sz w:val="18"/>
      <w:szCs w:val="18"/>
    </w:rPr>
  </w:style>
  <w:style w:type="character" w:customStyle="1" w:styleId="18">
    <w:name w:val="15"/>
    <w:basedOn w:val="10"/>
    <w:qFormat/>
    <w:uiPriority w:val="0"/>
    <w:rPr>
      <w:rFonts w:hint="default" w:ascii="Times New Roman" w:hAnsi="Times New Roman" w:cs="Times New Roman"/>
    </w:rPr>
  </w:style>
  <w:style w:type="character" w:customStyle="1" w:styleId="19">
    <w:name w:val="批注框文本 Char"/>
    <w:basedOn w:val="10"/>
    <w:link w:val="6"/>
    <w:qFormat/>
    <w:uiPriority w:val="0"/>
    <w:rPr>
      <w:rFonts w:ascii="Calibri" w:hAnsi="Calibri" w:eastAsia="宋体" w:cs="黑体"/>
      <w:kern w:val="2"/>
      <w:sz w:val="18"/>
      <w:szCs w:val="18"/>
    </w:rPr>
  </w:style>
  <w:style w:type="character" w:customStyle="1" w:styleId="20">
    <w:name w:val="页眉 Char"/>
    <w:basedOn w:val="10"/>
    <w:link w:val="8"/>
    <w:qFormat/>
    <w:uiPriority w:val="99"/>
    <w:rPr>
      <w:rFonts w:ascii="Calibri" w:hAnsi="Calibri" w:eastAsia="宋体" w:cs="黑体"/>
      <w:kern w:val="2"/>
      <w:sz w:val="18"/>
      <w:szCs w:val="18"/>
    </w:rPr>
  </w:style>
  <w:style w:type="character" w:customStyle="1" w:styleId="21">
    <w:name w:val="页脚 Char"/>
    <w:basedOn w:val="10"/>
    <w:link w:val="7"/>
    <w:qFormat/>
    <w:uiPriority w:val="99"/>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TACCB</Company>
  <Pages>12</Pages>
  <Words>1747</Words>
  <Characters>11109</Characters>
  <Lines>83</Lines>
  <Paragraphs>23</Paragraphs>
  <TotalTime>1</TotalTime>
  <ScaleCrop>false</ScaleCrop>
  <LinksUpToDate>false</LinksUpToDate>
  <CharactersWithSpaces>0</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2019-10-07T15:52:00Z</dcterms:created>
  <dc:creator>REMIN</dc:creator>
  <cp:lastModifiedBy>Administrator</cp:lastModifiedBy>
  <dcterms:modified xsi:type="dcterms:W3CDTF">2025-09-12T02:36:05Z</dcterms:modified>
  <dc:title> “金紫薇”共赢18号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