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Chars="0"/>
        <w:jc w:val="center"/>
        <w:textAlignment w:val="baseline"/>
        <w:outlineLvl w:val="9"/>
        <w:rPr>
          <w:rStyle w:val="4"/>
          <w:rFonts w:ascii="方正小标宋简体" w:hAnsi="方正小标宋简体" w:eastAsia="方正小标宋简体" w:cs="方正小标宋简体"/>
          <w:b/>
          <w:bCs/>
          <w:i w:val="0"/>
          <w:caps w:val="0"/>
          <w:spacing w:val="0"/>
          <w:w w:val="100"/>
          <w:kern w:val="2"/>
          <w:sz w:val="36"/>
          <w:szCs w:val="36"/>
          <w:lang w:val="en-US" w:eastAsia="zh-CN" w:bidi="ar-SA"/>
        </w:rPr>
      </w:pPr>
      <w:r>
        <w:rPr>
          <w:rStyle w:val="4"/>
          <w:rFonts w:ascii="方正小标宋简体" w:hAnsi="方正小标宋简体" w:eastAsia="方正小标宋简体"/>
          <w:b w:val="0"/>
          <w:bCs w:val="0"/>
          <w:i w:val="0"/>
          <w:caps w:val="0"/>
          <w:spacing w:val="0"/>
          <w:w w:val="100"/>
          <w:kern w:val="2"/>
          <w:sz w:val="36"/>
          <w:szCs w:val="36"/>
          <w:lang w:val="en-US" w:eastAsia="zh-CN" w:bidi="ar-SA"/>
        </w:rPr>
        <w:t>泰安银行股份有限公司2023年校园招聘公告</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泰安银行股份有限公司是一家地方国有商业银行，注册资本29亿元，在济南及泰安地区设有80家分支机构，始终坚持以</w:t>
      </w:r>
      <w:r>
        <w:rPr>
          <w:rStyle w:val="4"/>
          <w:rFonts w:hint="eastAsia" w:ascii="仿宋_GB2312" w:hAnsi="仿宋_GB2312" w:eastAsia="仿宋_GB2312"/>
          <w:b w:val="0"/>
          <w:i w:val="0"/>
          <w:caps w:val="0"/>
          <w:spacing w:val="0"/>
          <w:w w:val="100"/>
          <w:kern w:val="2"/>
          <w:sz w:val="32"/>
          <w:szCs w:val="32"/>
          <w:lang w:val="en-US" w:eastAsia="zh-CN" w:bidi="ar-SA"/>
        </w:rPr>
        <w:t>建设</w:t>
      </w:r>
      <w:r>
        <w:rPr>
          <w:rStyle w:val="4"/>
          <w:rFonts w:ascii="仿宋_GB2312" w:hAnsi="仿宋_GB2312" w:eastAsia="仿宋_GB2312"/>
          <w:b w:val="0"/>
          <w:i w:val="0"/>
          <w:caps w:val="0"/>
          <w:spacing w:val="0"/>
          <w:w w:val="100"/>
          <w:kern w:val="2"/>
          <w:sz w:val="32"/>
          <w:szCs w:val="32"/>
          <w:lang w:val="en-US" w:eastAsia="zh-CN" w:bidi="ar-SA"/>
        </w:rPr>
        <w:t>“立足本地、稳健经营、差异发展、规模适度、质效优先、管理精细”的区域性精品银行为目标，坚守“服务地方经济、服务中小企业、服务城乡居民”的市场定位，踔厉奋发、笃行不怠，实现各项业务跨越式发展，资产规模突破千亿大关，先后获得“省级文明单位”“山东省金融辅导工作优秀单位”“卓越竞争力普惠金融银行”“新时代泰山挑山工先进集体”等荣誉称号。为满足业务发展需要，现面向国内外高校招聘2023年优秀应届毕业生。</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黑体" w:hAnsi="黑体" w:eastAsia="黑体"/>
          <w:b w:val="0"/>
          <w:i w:val="0"/>
          <w:caps w:val="0"/>
          <w:spacing w:val="0"/>
          <w:w w:val="100"/>
          <w:kern w:val="2"/>
          <w:sz w:val="32"/>
          <w:szCs w:val="32"/>
          <w:lang w:val="en-US" w:eastAsia="zh-CN" w:bidi="ar-SA"/>
        </w:rPr>
      </w:pPr>
      <w:r>
        <w:rPr>
          <w:rStyle w:val="4"/>
          <w:rFonts w:ascii="黑体" w:hAnsi="黑体" w:eastAsia="黑体"/>
          <w:b w:val="0"/>
          <w:i w:val="0"/>
          <w:caps w:val="0"/>
          <w:spacing w:val="0"/>
          <w:w w:val="100"/>
          <w:kern w:val="2"/>
          <w:sz w:val="32"/>
          <w:szCs w:val="32"/>
          <w:lang w:val="en-US" w:eastAsia="zh-CN" w:bidi="ar-SA"/>
        </w:rPr>
        <w:t>一、招聘对象</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国内外高校2023年全日制大学本科及以上学历应届毕业生，其中国外大学毕业生入职时需获得国内教育部学历学位认证。</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黑体" w:hAnsi="黑体" w:eastAsia="黑体"/>
          <w:b w:val="0"/>
          <w:i w:val="0"/>
          <w:caps w:val="0"/>
          <w:spacing w:val="0"/>
          <w:w w:val="100"/>
          <w:kern w:val="2"/>
          <w:sz w:val="32"/>
          <w:szCs w:val="32"/>
          <w:lang w:val="en-US" w:eastAsia="zh-CN" w:bidi="ar-SA"/>
        </w:rPr>
      </w:pPr>
      <w:r>
        <w:rPr>
          <w:rStyle w:val="4"/>
          <w:rFonts w:ascii="黑体" w:hAnsi="黑体" w:eastAsia="黑体"/>
          <w:b w:val="0"/>
          <w:i w:val="0"/>
          <w:caps w:val="0"/>
          <w:spacing w:val="0"/>
          <w:w w:val="100"/>
          <w:kern w:val="2"/>
          <w:sz w:val="32"/>
          <w:szCs w:val="32"/>
          <w:lang w:val="en-US" w:eastAsia="zh-CN" w:bidi="ar-SA"/>
        </w:rPr>
        <w:t>二、招聘岗位</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（一）总行管理培训生</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（二）总行科技信息管理培训生</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（三）分行/市区管辖行管理培训生</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（四）县域管辖行管理培训生</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黑体" w:hAnsi="黑体" w:eastAsia="黑体"/>
          <w:b w:val="0"/>
          <w:i w:val="0"/>
          <w:caps w:val="0"/>
          <w:spacing w:val="0"/>
          <w:w w:val="100"/>
          <w:kern w:val="2"/>
          <w:sz w:val="32"/>
          <w:szCs w:val="32"/>
          <w:lang w:val="en-US" w:eastAsia="zh-CN" w:bidi="ar-SA"/>
        </w:rPr>
      </w:pPr>
      <w:r>
        <w:rPr>
          <w:rStyle w:val="4"/>
          <w:rFonts w:ascii="黑体" w:hAnsi="黑体" w:eastAsia="黑体"/>
          <w:b w:val="0"/>
          <w:i w:val="0"/>
          <w:caps w:val="0"/>
          <w:spacing w:val="0"/>
          <w:w w:val="100"/>
          <w:kern w:val="2"/>
          <w:sz w:val="32"/>
          <w:szCs w:val="32"/>
          <w:lang w:val="en-US" w:eastAsia="zh-CN" w:bidi="ar-SA"/>
        </w:rPr>
        <w:t>三、招聘条件</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楷体" w:hAnsi="楷体" w:eastAsia="楷体"/>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（一）基本条件：</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1、诚实守信、遵纪守法，无违规违纪行为及不良行为记录；</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2、成绩优异，综合素质高，具有较强的学习创新能力及团队合作精神；</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3、身体健康，能够保证正常工作开展；</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4、认可泰安银行的企业文化，具有较强的责任心及良好的心理素质；</w:t>
      </w: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符合《泰安银行股份有限公司员工履职回避管理办法》的规定。</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（二）学历、专业要求：</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1、总行管理培训生：应届硕士研究生及以上学历，经济金融类、管理类、数理统计类、信息科技类、理工类、法学类等专业。</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2、总行科技信息管理培训生：应届硕士研究生及以上学历，数理统计类、信息科技类等专业。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3、分行/市区管辖行管理培训生：应届本科及以上学历，经济金融类、管理类、数理统计类、信息科技类、理工类、法学类等专业。</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4、县域管辖行管理培训生：应届本科及以上学历，经济金融类、管理类、数理统计类、信息科技类、理工类、法学类等专业为主，其他专业为辅。</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黑体" w:hAnsi="黑体" w:eastAsia="黑体"/>
          <w:b w:val="0"/>
          <w:i w:val="0"/>
          <w:caps w:val="0"/>
          <w:spacing w:val="0"/>
          <w:w w:val="100"/>
          <w:kern w:val="2"/>
          <w:sz w:val="32"/>
          <w:szCs w:val="32"/>
          <w:lang w:val="en-US" w:eastAsia="zh-CN" w:bidi="ar-SA"/>
        </w:rPr>
      </w:pPr>
      <w:r>
        <w:rPr>
          <w:rStyle w:val="4"/>
          <w:rFonts w:ascii="黑体" w:hAnsi="黑体" w:eastAsia="黑体"/>
          <w:b w:val="0"/>
          <w:i w:val="0"/>
          <w:caps w:val="0"/>
          <w:spacing w:val="0"/>
          <w:w w:val="100"/>
          <w:kern w:val="2"/>
          <w:sz w:val="32"/>
          <w:szCs w:val="32"/>
          <w:lang w:val="en-US" w:eastAsia="zh-CN" w:bidi="ar-SA"/>
        </w:rPr>
        <w:t>四、工作地点</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（一）总行管理培训生：泰安市</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（二）总行科技信息管理培训生：泰安市</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（三）分行/市区管辖行管理培训生：分行管理培训生工作地点为济南市，市区管辖行管理培训生工作地点为泰安市</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（四）县域管辖行管理培训生：泰安各县市（新泰市、肥城市、宁阳县、东平县）</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黑体" w:hAnsi="黑体" w:eastAsia="黑体"/>
          <w:b w:val="0"/>
          <w:i w:val="0"/>
          <w:caps w:val="0"/>
          <w:spacing w:val="0"/>
          <w:w w:val="100"/>
          <w:kern w:val="2"/>
          <w:sz w:val="32"/>
          <w:szCs w:val="32"/>
          <w:lang w:val="en-US" w:eastAsia="zh-CN" w:bidi="ar-SA"/>
        </w:rPr>
      </w:pPr>
      <w:r>
        <w:rPr>
          <w:rStyle w:val="4"/>
          <w:rFonts w:ascii="黑体" w:hAnsi="黑体" w:eastAsia="黑体"/>
          <w:b w:val="0"/>
          <w:i w:val="0"/>
          <w:caps w:val="0"/>
          <w:spacing w:val="0"/>
          <w:w w:val="100"/>
          <w:kern w:val="2"/>
          <w:sz w:val="32"/>
          <w:szCs w:val="32"/>
          <w:lang w:val="en-US" w:eastAsia="zh-CN" w:bidi="ar-SA"/>
        </w:rPr>
        <w:t>五、培养机制</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泰安银行为全行员工明确了职业发展路径，员工岗位晋升、跨序列和序列内发展全部建立明确的标准，2023年校园招聘员工将按照以下方式进行培养：</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Fonts w:ascii="仿宋_GB2312" w:hAnsi="仿宋_GB2312" w:eastAsia="仿宋_GB2312"/>
          <w:b w:val="0"/>
          <w:i w:val="0"/>
          <w:caps w:val="0"/>
          <w:spacing w:val="0"/>
          <w:w w:val="100"/>
          <w:sz w:val="32"/>
        </w:rPr>
      </w:pPr>
      <w:r>
        <w:rPr>
          <w:rStyle w:val="4"/>
          <w:rFonts w:ascii="仿宋_GB2312" w:hAnsi="仿宋_GB2312" w:eastAsia="仿宋_GB2312"/>
          <w:b w:val="0"/>
          <w:i w:val="0"/>
          <w:caps w:val="0"/>
          <w:spacing w:val="0"/>
          <w:w w:val="100"/>
          <w:kern w:val="2"/>
          <w:sz w:val="32"/>
          <w:szCs w:val="32"/>
          <w:lang w:val="en-US" w:eastAsia="zh-CN" w:bidi="ar-SA"/>
        </w:rPr>
        <w:t>（一）总行管理培训生：从事1-2年基层岗位锻炼，经过考核测评，择优选拔至总行管理序列岗位。</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Fonts w:ascii="仿宋_GB2312" w:hAnsi="仿宋_GB2312" w:eastAsia="仿宋_GB2312"/>
          <w:b w:val="0"/>
          <w:i w:val="0"/>
          <w:caps w:val="0"/>
          <w:spacing w:val="0"/>
          <w:w w:val="100"/>
          <w:sz w:val="32"/>
        </w:rPr>
      </w:pPr>
      <w:r>
        <w:rPr>
          <w:rStyle w:val="4"/>
          <w:rFonts w:ascii="仿宋_GB2312" w:hAnsi="仿宋_GB2312" w:eastAsia="仿宋_GB2312"/>
          <w:b w:val="0"/>
          <w:i w:val="0"/>
          <w:caps w:val="0"/>
          <w:spacing w:val="0"/>
          <w:w w:val="100"/>
          <w:kern w:val="2"/>
          <w:sz w:val="32"/>
          <w:szCs w:val="32"/>
          <w:lang w:val="en-US" w:eastAsia="zh-CN" w:bidi="ar-SA"/>
        </w:rPr>
        <w:t>（二）总行科技信息部管理培训生：经过考核测评，择优选拔至总行科技信息部管理序列岗位。</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（三）分行/市区管辖行管理培训生：从事2年基层岗位锻炼，满足条件者可择优选拔至基层团队负责人岗位或管辖行管理部室岗位。</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（四）县域管辖行管理培训生：从事2年基层岗位锻炼，满足条件者可择优选拔至基层团队负责人岗位或管辖行管理部室岗位。</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黑体" w:hAnsi="黑体" w:eastAsia="黑体"/>
          <w:b w:val="0"/>
          <w:i w:val="0"/>
          <w:caps w:val="0"/>
          <w:spacing w:val="0"/>
          <w:w w:val="100"/>
          <w:kern w:val="2"/>
          <w:sz w:val="32"/>
          <w:szCs w:val="32"/>
          <w:lang w:val="en-US" w:eastAsia="zh-CN" w:bidi="ar-SA"/>
        </w:rPr>
      </w:pPr>
      <w:r>
        <w:rPr>
          <w:rStyle w:val="4"/>
          <w:rFonts w:ascii="黑体" w:hAnsi="黑体" w:eastAsia="黑体"/>
          <w:b w:val="0"/>
          <w:i w:val="0"/>
          <w:caps w:val="0"/>
          <w:spacing w:val="0"/>
          <w:w w:val="100"/>
          <w:kern w:val="2"/>
          <w:sz w:val="32"/>
          <w:szCs w:val="32"/>
          <w:lang w:val="en-US" w:eastAsia="zh-CN" w:bidi="ar-SA"/>
        </w:rPr>
        <w:t>六、薪酬福利</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（一）六险两金、取暖费、防暑降温费以及各类补贴；</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（二）提供业内具有竞争力的薪酬待遇；</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（三）法定节假日，双休日，带薪年假；</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（四）健康体检、生日祝福，充满员工关怀；</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（五）与泰安银行签订正式劳动合同，为每一位员工构建良好的职业发展通道。</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黑体" w:hAnsi="黑体" w:eastAsia="黑体"/>
          <w:b w:val="0"/>
          <w:i w:val="0"/>
          <w:caps w:val="0"/>
          <w:spacing w:val="0"/>
          <w:w w:val="100"/>
          <w:kern w:val="2"/>
          <w:sz w:val="32"/>
          <w:szCs w:val="32"/>
          <w:lang w:val="en-US" w:eastAsia="zh-CN" w:bidi="ar-SA"/>
        </w:rPr>
      </w:pPr>
      <w:r>
        <w:rPr>
          <w:rStyle w:val="4"/>
          <w:rFonts w:ascii="黑体" w:hAnsi="黑体" w:eastAsia="黑体"/>
          <w:b w:val="0"/>
          <w:i w:val="0"/>
          <w:caps w:val="0"/>
          <w:spacing w:val="0"/>
          <w:w w:val="100"/>
          <w:kern w:val="2"/>
          <w:sz w:val="32"/>
          <w:szCs w:val="32"/>
          <w:lang w:val="en-US" w:eastAsia="zh-CN" w:bidi="ar-SA"/>
        </w:rPr>
        <w:t>七、招聘程序</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包含报名、简历初选、笔试、面试、体检、录用等环节。</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bCs w:val="0"/>
          <w:i w:val="0"/>
          <w:caps w:val="0"/>
          <w:spacing w:val="0"/>
          <w:w w:val="100"/>
          <w:kern w:val="2"/>
          <w:sz w:val="32"/>
          <w:szCs w:val="32"/>
          <w:lang w:val="en-US" w:eastAsia="zh-CN" w:bidi="ar-SA"/>
        </w:rPr>
        <w:t>（一）报名（网申）。</w:t>
      </w:r>
      <w:r>
        <w:rPr>
          <w:rStyle w:val="4"/>
          <w:rFonts w:ascii="仿宋_GB2312" w:hAnsi="仿宋_GB2312" w:eastAsia="仿宋_GB2312"/>
          <w:b w:val="0"/>
          <w:i w:val="0"/>
          <w:caps w:val="0"/>
          <w:spacing w:val="0"/>
          <w:w w:val="100"/>
          <w:kern w:val="2"/>
          <w:sz w:val="32"/>
          <w:szCs w:val="32"/>
          <w:lang w:val="en-US" w:eastAsia="zh-CN" w:bidi="ar-SA"/>
        </w:rPr>
        <w:t>统一采用在线网申的形式，报名截止时间2022年12月12日。</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（二）简历筛选。对应聘者投递的简历进行资格审查，并确定参加笔试人员名单。</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（三）笔试。简历初选通过人员将于12月进行统一笔试。</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（四）面试。笔试通过人员将择优组织进行面试，具体安排另行通知。</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（五）体检。面试通过人员将安排进行体检，具体安排另行通知。</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（六）录用。</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黑体" w:hAnsi="黑体" w:eastAsia="黑体"/>
          <w:b w:val="0"/>
          <w:i w:val="0"/>
          <w:caps w:val="0"/>
          <w:spacing w:val="0"/>
          <w:w w:val="100"/>
          <w:kern w:val="2"/>
          <w:sz w:val="32"/>
          <w:szCs w:val="32"/>
          <w:lang w:val="en-US" w:eastAsia="zh-CN" w:bidi="ar-SA"/>
        </w:rPr>
      </w:pPr>
      <w:r>
        <w:rPr>
          <w:rStyle w:val="4"/>
          <w:rFonts w:ascii="黑体" w:hAnsi="黑体" w:eastAsia="黑体"/>
          <w:b w:val="0"/>
          <w:i w:val="0"/>
          <w:caps w:val="0"/>
          <w:spacing w:val="0"/>
          <w:w w:val="100"/>
          <w:kern w:val="2"/>
          <w:sz w:val="32"/>
          <w:szCs w:val="32"/>
          <w:lang w:val="en-US" w:eastAsia="zh-CN" w:bidi="ar-SA"/>
        </w:rPr>
        <w:t>八、注意事项</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（一）泰安银行校园招聘报名委托第三方招聘公司进行，唯一报名端口为：taianbank.zhaopin.com,</w:t>
      </w:r>
      <w:r>
        <w:rPr>
          <w:rStyle w:val="4"/>
          <w:rFonts w:ascii="仿宋_GB2312" w:hAnsi="仿宋_GB2312" w:eastAsia="仿宋_GB2312"/>
          <w:b w:val="0"/>
          <w:i w:val="0"/>
          <w:caps w:val="0"/>
          <w:color w:val="000000"/>
          <w:spacing w:val="0"/>
          <w:w w:val="100"/>
          <w:kern w:val="2"/>
          <w:sz w:val="32"/>
          <w:szCs w:val="32"/>
          <w:lang w:val="en-US" w:eastAsia="zh-CN" w:bidi="ar-SA"/>
        </w:rPr>
        <w:t>不接收邮箱投递及纸质简历；不指定考试辅导用书，不举办也不委托任何机构举办考试辅导培训班，不收取任何费用，请广大应聘者提高警惕，谨防受骗。</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（二）应聘者需提供本人真实、完整的应聘信息，如与事实不符，我行有权即刻取消应聘者的应聘资格，应聘者自行承担由此导致的全部后果。我行承诺对应聘者的信息予以保密。</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（三）对于通过各招聘环节的应聘者，我行将通过站内消息、电话、短信或邮件方式通知，请保持注册手机通讯畅通。</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（四）泰安银行有权根据业务需要、报名情况提前终止或延长报名时间，并对本次招聘享有最终解释权。</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baseline"/>
        <w:outlineLvl w:val="9"/>
        <w:rPr>
          <w:rStyle w:val="4"/>
          <w:rFonts w:ascii="仿宋_GB2312" w:hAnsi="仿宋_GB2312" w:eastAsia="仿宋_GB2312"/>
          <w:b w:val="0"/>
          <w:i w:val="0"/>
          <w:caps w:val="0"/>
          <w:spacing w:val="0"/>
          <w:w w:val="100"/>
          <w:kern w:val="2"/>
          <w:sz w:val="32"/>
          <w:szCs w:val="32"/>
          <w:lang w:val="en-US" w:eastAsia="zh-CN" w:bidi="ar-SA"/>
        </w:rPr>
      </w:pPr>
      <w:r>
        <w:rPr>
          <w:rStyle w:val="4"/>
          <w:rFonts w:ascii="仿宋_GB2312" w:hAnsi="仿宋_GB2312" w:eastAsia="仿宋_GB2312"/>
          <w:b w:val="0"/>
          <w:i w:val="0"/>
          <w:caps w:val="0"/>
          <w:spacing w:val="0"/>
          <w:w w:val="100"/>
          <w:kern w:val="2"/>
          <w:sz w:val="32"/>
          <w:szCs w:val="32"/>
          <w:lang w:val="en-US" w:eastAsia="zh-CN" w:bidi="ar-SA"/>
        </w:rPr>
        <w:t xml:space="preserve">    </w:t>
      </w:r>
    </w:p>
    <w:sectPr>
      <w:footerReference r:id="rId3" w:type="default"/>
      <w:pgSz w:w="11906" w:h="16838"/>
      <w:pgMar w:top="1497" w:right="1860" w:bottom="1497" w:left="1860"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001010101"/>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4"/>
        <w:rFonts w:ascii="Calibri" w:hAnsi="Calibri" w:eastAsia="宋体"/>
        <w:kern w:val="2"/>
        <w:sz w:val="18"/>
        <w:szCs w:val="24"/>
        <w:lang w:val="en-US" w:eastAsia="zh-CN" w:bidi="ar-SA"/>
      </w:rPr>
    </w:pPr>
    <w:r>
      <w:rPr>
        <w:rStyle w:val="4"/>
        <w:rFonts w:ascii="Calibri" w:hAnsi="Calibri" w:eastAsia="宋体"/>
        <w:kern w:val="2"/>
        <w:sz w:val="18"/>
        <w:szCs w:val="24"/>
        <w:lang w:val="en-US" w:eastAsia="zh-CN" w:bidi="ar-SA"/>
      </w:rPr>
      <w:pict>
        <v:shape id="4097" o:spid="_x0000_s2049" o:spt="202" type="#_x0000_t202" style="position:absolute;left:0pt;margin-top:0pt;height:144pt;width:144pt;mso-position-horizontal:center;mso-position-horizontal-relative:margin;z-index:1024;mso-width-relative:page;mso-height-relative:page;" filled="f" stroked="f" coordsize="21600,21600">
          <v:path/>
          <v:fill on="f" focussize="0,0"/>
          <v:stroke on="f"/>
          <v:imagedata o:title=""/>
          <o:lock v:ext="edit"/>
          <v:textbox inset="0mm,0mm,0mm,0mm">
            <w:txbxContent>
              <w:p>
                <w:pPr>
                  <w:snapToGrid w:val="0"/>
                  <w:jc w:val="both"/>
                  <w:textAlignment w:val="baseline"/>
                  <w:rPr>
                    <w:rStyle w:val="4"/>
                    <w:rFonts w:ascii="Calibri" w:hAnsi="Calibri" w:eastAsia="宋体"/>
                    <w:kern w:val="2"/>
                    <w:sz w:val="18"/>
                    <w:szCs w:val="24"/>
                    <w:lang w:val="en-US" w:eastAsia="zh-CN" w:bidi="ar-SA"/>
                  </w:rPr>
                </w:pPr>
              </w:p>
              <w:p>
                <w:pPr>
                  <w:jc w:val="both"/>
                  <w:textAlignment w:val="baseline"/>
                  <w:rPr>
                    <w:rStyle w:val="4"/>
                    <w:rFonts w:ascii="Calibri" w:hAnsi="Calibri" w:eastAsia="宋体"/>
                    <w:kern w:val="2"/>
                    <w:sz w:val="21"/>
                    <w:szCs w:val="24"/>
                    <w:lang w:val="en-US" w:eastAsia="zh-CN" w:bidi="ar-SA"/>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5"/>
      <w:numFmt w:val="decimal"/>
      <w:suff w:val="nothing"/>
      <w:lvlText w:val="%1、"/>
      <w:lvlJc w:val="left"/>
      <w:pPr>
        <w:widowControl/>
        <w:textAlignment w:val="baseline"/>
      </w:pPr>
      <w:rPr>
        <w:rStyle w:val="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12C85E5A"/>
    <w:rsid w:val="14447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NormalCharacter"/>
    <w:uiPriority w:val="0"/>
  </w:style>
  <w:style w:type="table" w:customStyle="1" w:styleId="5">
    <w:name w:val="TableNormal"/>
    <w:uiPriority w:val="0"/>
  </w:style>
  <w:style w:type="paragraph" w:customStyle="1" w:styleId="6">
    <w:name w:val="Header"/>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paragraph" w:customStyle="1" w:styleId="7">
    <w:name w:val="Footer"/>
    <w:basedOn w:val="1"/>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1758</Words>
  <Characters>1804</Characters>
  <Paragraphs>57</Paragraphs>
  <TotalTime>2</TotalTime>
  <ScaleCrop>false</ScaleCrop>
  <LinksUpToDate>false</LinksUpToDate>
  <CharactersWithSpaces>1808</CharactersWithSpaces>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2022-11-15T01:12:00Z</dcterms:created>
  <dc:creator>WPS Office</dc:creator>
  <cp:lastModifiedBy>张超</cp:lastModifiedBy>
  <dcterms:modified xsi:type="dcterms:W3CDTF">2022-11-15T07:09:20Z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699d72488e4d4674b7971915eaacdea8</vt:lpwstr>
  </property>
  <property fmtid="{D5CDD505-2E9C-101B-9397-08002B2CF9AE}" pid="3" name="KSOProductBuildVer">
    <vt:lpwstr>2052-10.8.0.6501</vt:lpwstr>
  </property>
</Properties>
</file>